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30 ОТ 03.03.1955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КОИ НЕДВИЖИМИ ИМОТИ СЕ СЧИТАТ ЗЗД ПОКРИТИ </w:t>
        <w:tab/>
        <w:br/>
        <w:tab/>
        <w:t xml:space="preserve"> </w:t>
        <w:tab/>
        <w:br/>
        <w:tab/>
        <w:t xml:space="preserve"> </w:t>
        <w:tab/>
        <w:br/>
        <w:tab/>
        <w:t xml:space="preserve">Министърът на правосъдието на основание чл. 17 от Закона за устройство на съдилищата сезира Върховния съд, Общото събрание на гражданската колегия, за издаване на тълкувателно решение по следния въпрос: според Закона за местните данъци и такси - данък наследство, чл. 23, придобитите по наследство имущества се оценяват покритите недвижими имоти - по текуща данъчна оценка, и полските имоти - по норми, определени от Министерския съвет, как трябва да се третират покритите недвижими имоти, включени в регулационния план, обаче вън от строителната част, които се използват като ниви и овощни градини от земеделските стопани. </w:t>
        <w:tab/>
        <w:br/>
        <w:tab/>
        <w:t xml:space="preserve">Върховният съд, Общото събрание на гражданската колегия, взе предвид: </w:t>
        <w:tab/>
        <w:br/>
        <w:tab/>
        <w:t xml:space="preserve">Член 23 от Закона за местните данъци и такси разделя придобитите по наследство недвижими имоти на покрити и полски имоти. Отговор на въпроса кои са характерните белези на покритите недвижими имоти може да се намери в разпоредбата на чл. 5 от Закона за местните данъци и такси. Първата алинея от този текст определя като покрити недвижими имоти сградите, дворните места и парцелите, които се облагат с данък сгради. Втората алинея разширява кръга на покритите недвижими имоти и извън регулационния план на населеното място, като включва в тях и дворните места до два декара. А дворни места по смисъла на първата алинея на чл. 5 от Закона за местните данъци и такси следва да се разбират местата, в които има построени сгради. </w:t>
        <w:tab/>
        <w:br/>
        <w:tab/>
        <w:t xml:space="preserve">Следователно покритите недвижими имоти, включени в регулационния план, но вън от строителната част, които се използват като ниви и овощни градини от земеделските стопани, следва да се третират като покрити и недвижими имоти на общо основание и да се облагат по текущата данъчна оценка. По същия начин следва да се облагат и придобитите по наследство имущества и сградите с дворни места до два декара, макар и намиращи се вън от регулационния план на населените места. </w:t>
        <w:tab/>
        <w:br/>
        <w:tab/>
        <w:t xml:space="preserve">Поради горните съображения Върховният съд, ОСГК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За покрити недвижими имоти, придобити по наследство, се считат сградите, дворните места и парцелите, както и сградите с дворни места до два декара, които се намират вън от регулационния план на населените места, независимо от това дали тези дворни места и парцели са вън от строителната част и дали се използват от земеделските стопани като ниви и овощни градини.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