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№1702/12.12.2019 по адм. д. №13837/2019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/АПК/, във връзка с чл. 459, ал.8 и ал. 9 от Изборния кодекс /ИК/.</w:t>
        <w:tab/>
        <w:br/>
        <w:tab/>
        <w:t xml:space="preserve">Образувано е по касационна жалба на П.В от [населено място], община [община], против решение № 495 от 11.11.2019 г., постановено от Административен съд – Перник, по адм. д. № 690/2019 г. С касационната жалба се релевират касационни основания по смисъла на чл. 209, т. 3 АПК - неправилност на решението. Касационният жалбоподател твърди, че оспореният съдебен акт е необоснован, постановен в нарушение на съдопроизводствените правила и в противоречие с материалния закон. Претендира отмяна на обжалваното съдебно решение и постановяване на решение, с което да бъде отменено решение№ 143- МИ на ОИК - Радомир за обявяване за избран за кмет С.Д.</w:t>
        <w:tab/>
        <w:br/>
        <w:tab/>
        <w:t xml:space="preserve">Ответникът - Общинска избирателна комисия - Радомир, чрез Председателя К.И, оспорва касационната жалба с доводи в писмено становище. Отправя исконе до съда да я остави без уважение.</w:t>
        <w:tab/>
        <w:br/>
        <w:tab/>
        <w:t xml:space="preserve">Ответникът С.Д също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регламентиран в чл. 459, ал. 8 ИК. Разгледана по същество, касационната жалба е неоснователна по следните съображения:</w:t>
        <w:tab/>
        <w:br/>
        <w:tab/>
        <w:t xml:space="preserve">С обжалваното решение е потвърдено решение № 143- МИ/28.10.2019 г. на Общинска избирателна комисия - Радомир, с което е обявен за избран за кмет на кметство Друган, община Р. С.Д, издигнат от местна коалиция "ГЕРБ". Административен съд - Перник е описал подробно установената фактическа обстановка, която не е и спорна между страните и се потвърждава отприложените към административната преписка писмени доказателства. Въз основа на възприетите факти съдът правилно е счел за неоснователни доводи за незаконосъобразност на обжалваното решение на ОИК – Радомир. Следва да бъде споделен извода на съда, че оплакванията за това дали са налице предпоставките на чл. 16, т. 1 от ЗАТУРБ, във вр. с § 153 от ПЗР на ИК не могат да бъдат обсъждани в рамките на производство като процесното. Съгласно чл. 87, ал. 1, т. 3 от ИК правомощие на ОИК е да определи и обяви номерата на изборните райони в общината, включително и на едномандатните избирателни райони за избор на кмет на кметство по смисъла на чл. 404, ал. 2 от ИК. Съгласно чл. 88, ал. 1 от ИК решението на ОИК в изпълнение на това правомощие, подлежи на самостоятелно обжалване. Затова доводите за отсъствието на предвидените в закона предпоставки за определяне на кметство Друган за избирателен район в изборите за кмет на кметство са относими към преценка законосъобразността на решението на ОИК по чл. 87, ал. 1, т. 3 от ИК, а не към тази на обжалваното в настоящото производство решение. Съдът законосъобразно е достигнал до този извод.</w:t>
        <w:tab/>
        <w:br/>
        <w:tab/>
        <w:t xml:space="preserve">Правилно е обсъдено като неоснователно и другото водещо оплакване на жалбоподателя, което се релевира отново и в касационната жалба, а именно, че в случая извършените вписвания в избирателните списъци по настоящ адрес са довели до опорочаване на изборния резултат. Както е посочил и първостепенният съд, правото на всеки да гласува по настоящ, вместо по постоянен адрес е уредено в чл. 36 от ЗИ, като са предвидени и условията и реда за упражняването му. Доколкото в случая не са наведени оплаквания за нарушаване на разпоредбите на цитираната норма и не са ангажирани доказателства в тази насока, то и самото упражняване на предвиденото в закона право на избирателя да гласува по настоящ адрес, независимо от броя на лицата, които са го сторили, не може да има за последица незаконосъобразност на проведения избор.</w:t>
        <w:tab/>
        <w:br/>
        <w:tab/>
        <w:t xml:space="preserve">По изложените съображения настоящият касационен състав намира, че обжалваното решение не страда от инвокираните с касационната жалба пороци отм. енителни основания по смисъла на чл. 209, т. 3 АПК.</w:t>
        <w:tab/>
        <w:br/>
        <w:tab/>
        <w:t xml:space="preserve">На основание на горното и на чл. 459, ал.8 и ал. 9 ИК във връзка с чл. 221, ал. 2, предложение първо АПК, Върховният административен съд, четвърто отделение, РЕШИ: </w:t>
        <w:tab/>
        <w:br/>
        <w:tab/>
        <w:t xml:space="preserve">ОСТАВЯ В СИЛА решение № 495 от 11.11.2019 г., постановено от Административен съд – Перник, по адм. д. № 690/2019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