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№2311/23.02.2017 по адм. д. №8521/2016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А. Д. А., от [населено място], чрез неговия пълномощник, срещу решение № 883/21.04.2016 г. по адм. д. № 2640/2015 г. на Административен съд Варна. Счита обжалваното решение за неправилно като постановено в нарушение на процесуалния и материалния закон и необосновано. Претендира от съда отмяната му.</w:t>
        <w:tab/>
        <w:br/>
        <w:tab/>
        <w:t xml:space="preserve">Ответникът по касационната жалба-кметът на район "А."- [община]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заповед №КС-15/28.07.2015 г. на кмета на район "А.", с която му е наредено да премахне незаконен строеж "двуетажна постройка" на допълващо застрояване, използвана за склад на първия етаж и за отглеждане на животни на втория етаж като построена без строителни книжа. С обжалваното решение съдът е отхвърлил жалбата.</w:t>
        <w:tab/>
        <w:br/>
        <w:tab/>
        <w:t xml:space="preserve">Развил е доводи, че строежът е изграден през 1998 г., без строителни книжа и не е търпим.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за извършения строеж не са представени строителни книжа, поради което същият е незаконен. Спрямо така установените факти съдът правилно е приложил материалния закон. Характеристиката на строежа като незаконен е основание за административния орган да издаде заповед със съдържание като оспорената, годна да предизвика правната последица премахване. Строежът не е отразен в предходен регулационен и застроителен план и не са налице условията за търпимост на същия. Процесният строеж е изпълнен на границата със съседните два имота и за да е търпим, то същият следва да покрива калканни стени на заварени или новопроектирани постройки на допълващо застрояване в съседния имот, което условие не е налице. Поради това не е налице съответствие с действащи подробни устройствени планове нито към момента на извършване на строителството, нито към настоящия момент. С оглед времето на изграждане приложимата хипотеза за евентуална търпимост е тази на разпоредбата на пар. 16, ал. 2 ПЗРЗУТ, изискваща деклариране на строежа. В случая данни за декларирането му не са налице, а както се посочи, не са налице и материалноправните предпоставки на нормата за съответствие на строежа с планове, правила и норми на изграждане нито в предходен, нито в актуалния момент.</w:t>
        <w:tab/>
        <w:br/>
        <w:tab/>
        <w:t xml:space="preserve">Предвид изложеното, като е приел оспорения административен акт за валиден и законосъобразен такъв, съдът правилно е постановил правилно решение. Спрямо него не са налице твърдяните в касационната жалба основания за отмяна.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 883/21.04.2016 г. по адм. д. № 2640/2015 г. на Административен съд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