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№4399/14.04.2008 по адм. д. №12950/2007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185 и сл. от Административно процесуалния кодекс (АПК). Образувано е по жалба на Синдикатът на атомните енергетици (САЕ) към Национална федерация на енергетиците, член на Конфедерация на независимите синдикати в България, против Инструкция № 13/31.10.2000 г. за прилагане Наредбата за категоризиране на труда при пенсиониране (Инструкцията), издадена от управителя на Националния осигурителен институт (НОИ), обнародвана в ДВ бр. 94/2000 г.</w:t>
        <w:tab/>
        <w:br/>
        <w:tab/>
        <w:t xml:space="preserve">На основание чл. 187, ал. 1 от АПК, подзаконовите нормативни актове могат да бъдат оспорени без ограничение във времето, поради което жалбата се явява процесуално допустима. Правният интерес жалбоподателят обосновава с наличието на изготвени от Териториалното поделение (ТП) на НОИ, Враца, списъци за категоризацията на труда, полаган от длъжности в "АЕЦ - Козлодуй" ЕАД, които според него не отговарят на нормативната уредба, дадена от Наредбата за категоризиране на труда при пенсиониране (НКТП). Доколкото списъците на ТП на НОИ са издадени на на основание обжалваната инструкция, следва да се приеме наличието на правен интерес от отмяната `и.</w:t>
        <w:tab/>
        <w:br/>
        <w:tab/>
        <w:t xml:space="preserve">С жалбата се оспорват чл. 9, ал. 1 и 20 и § 2 от Преходните и заключителни разпоредби (ПЗР) на Инструкцията. В същото време, към Върховния административен съд (ВАС) се отправя молба за цялостната `и отмяна. След дадени указания за уточняване предмета на жалбата, с писмена молба постъпила в съда на 10.03.2008 г. жалбоподателят излага, че предмет на оспорване от негова страна са „… чл. 9, ал. 20 и § 2 от ПЗР във вр. с чл. 6 от Инструкцията, касаещи длъжностите в „АЕЦ Козлодуй” ЕАД, които са включени в списъците трета категория труд съгласно ал. 20 вместо в списъците за втора категория труд”. В устната пледоария на пълномощника на САЕ, изнесена пред ВАС по време на съдебното заседание на 02.04.2008 г. по делото, отново се моли за " ... постановяване на решение, с което се отмени атакуваната инструкция" - т. е. искането е за цялостна отмяна на нормативния акт. Жалбата се основава на твърдение за противоречие на оспорените текстове с такива от актове от по-горна степен: чл. 2, т. 12 от НКТП и чл. 104, ал. 1 от Кодекса за социално осигуряване (КСО).</w:t>
        <w:tab/>
        <w:br/>
        <w:tab/>
        <w:t xml:space="preserve">Ответникът – управителят на НОИ, чрез процесуалния си представител, счита жалбата за неоснователна и моли отхвърлянето `и.</w:t>
        <w:tab/>
        <w:br/>
        <w:tab/>
        <w:t xml:space="preserve">Прокурорът от Върховна административна прокуратура счита жалбата за неоснователна.</w:t>
        <w:tab/>
        <w:br/>
        <w:tab/>
        <w:t xml:space="preserve">Оспорените текстове от Инструкцията имат следното съдържание:</w:t>
        <w:tab/>
        <w:br/>
        <w:tab/>
        <w:t xml:space="preserve">"Чл. 9, ал. 20 – „По т. 12 - работниците, специалистите и ръководните служители, работещи в среда на йонизиращи лъчения с радиоактивни вещества и други източници на йонизиращи излъчвания, включително и работещите по ликвидиране на последиците от дейността на ликвидираната фирма "Редки метали", както и част от персонала на АЕЦ "Козлодуй" (без обхванатите с т. 5 и 6 на чл. 1 от наредбата ):</w:t>
        <w:tab/>
        <w:br/>
        <w:tab/>
        <w:t xml:space="preserve">1. работниците, инженерно-техническите специалисти и ръководните служители от ядреноенергетичните производства до началник производство (директор) включително в АЕЦ "Козлодуй";</w:t>
        <w:tab/>
        <w:br/>
        <w:tab/>
        <w:t xml:space="preserve">2. инженерно-техническите специалисти и ръководните служители от управлението на клона (централното управление) на АЕЦ "Козлодуй" с ръководни и контролни функции по експлоатацията и ремонта на основното и спомагателно оборудване в електропроизводството;</w:t>
        <w:tab/>
        <w:br/>
        <w:tab/>
        <w:t xml:space="preserve">3. работниците, инженерно-техническите специалисти и ръководните служители от спомагателните поделения на АЕЦ "Козлодуй": "Атоменергоремонт", "Атоменергостройпрогрес", "Атоменергоавтоматика", Брегова помпена станция и др., изпълняващи дейности, свързани с експлоатацията и ремонта на основното и спомагателно оборудване;</w:t>
        <w:tab/>
        <w:br/>
        <w:tab/>
        <w:t xml:space="preserve">4. дозиметристите от група "мониторинг" и работниците от хидротехническите съоръжения (ХТС) и строителните конструкции (СК) на площадките на АЕЦ "Козлодуй";</w:t>
        <w:tab/>
        <w:br/>
        <w:tab/>
        <w:t xml:space="preserve">5. работниците от централните работилници към електропроизводствата от АЕЦ "Козлодуй", пряко участващи при ремонта на основното и спомагателното оборудване; останалите работници, инженерно-технически специалисти и ръководни служители не се обхващат с точката;</w:t>
        <w:tab/>
        <w:br/>
        <w:tab/>
        <w:t xml:space="preserve">6. специалистите, осъществяващи оперативен контрол в обекти, използващи източници на йонизиращи лъчения;</w:t>
        <w:tab/>
        <w:br/>
        <w:tab/>
        <w:t xml:space="preserve">7. работниците, инженерно-техническите специалисти и контролиращият персонал, работещи по възстановяването на последствията от дейността на уранодобивната и уранопреработващата промишленост (закритата фирма "Редки метали");</w:t>
        <w:tab/>
        <w:br/>
        <w:tab/>
        <w:t xml:space="preserve">8. работещите по пречистването на отпадни води от урановите рудници и хвостохранилищата на хидрометалургичните заводи (закритата фирма "Редки метали");</w:t>
        <w:tab/>
        <w:br/>
        <w:tab/>
        <w:t xml:space="preserve">9. работещите в хидрометалургичните заводи за пречистване на уранова руда;</w:t>
        <w:tab/>
        <w:br/>
        <w:tab/>
        <w:t xml:space="preserve">10. работещите по изпитване, ремонт и поддържане на нуклеарно - медицински уредби;</w:t>
        <w:tab/>
        <w:br/>
        <w:tab/>
        <w:t xml:space="preserve">11. работещите с електронни скениращи микроскопи с ускоряващо напрежение над 50 киловолта;</w:t>
        <w:tab/>
        <w:br/>
        <w:tab/>
        <w:t xml:space="preserve">12. работещите с електронни микроскопи с ускоряващо напрежение над 60 киловолта;</w:t>
        <w:tab/>
        <w:br/>
        <w:tab/>
        <w:t xml:space="preserve">13. работещите с рентгенови апарати за пролъчване на багаж на митници, аерогари, гранични пропускателни пунктове;</w:t>
        <w:tab/>
        <w:br/>
        <w:tab/>
        <w:t xml:space="preserve">14. работещите по монтаж, ремонт и изпитване на радиоактивни датчици за пожароизвестителни системи;</w:t>
        <w:tab/>
        <w:br/>
        <w:tab/>
        <w:t xml:space="preserve">15. работещите по товаренето, разтоварването и превозването на радиоактивни алфа-, бета - и гама-системи;</w:t>
        <w:tab/>
        <w:br/>
        <w:tab/>
        <w:t xml:space="preserve">16. персоналът, зает с изпиране, изсушаване и гладене на облекло и бельо на работещи в радиоизотопни лаборатории от първи, втори и трети клас и на работещи с материали с повишена радиоактивност;</w:t>
        <w:tab/>
        <w:br/>
        <w:tab/>
        <w:t xml:space="preserve">17. работещите със стационарни апарати за рентгенофлуоресцентен анализ с ускоряващо напрежение над 15 киловолта или радиоизотопни източници;</w:t>
        <w:tab/>
        <w:br/>
        <w:tab/>
        <w:t xml:space="preserve">18. работещите с йонни имплантатори с ускоряващо напрежение над 25 киловолта;</w:t>
        <w:tab/>
        <w:br/>
        <w:tab/>
        <w:t xml:space="preserve">19. работещите по изпитването, ремонта и поддържането на ускорители на елементарни частици;</w:t>
        <w:tab/>
        <w:br/>
        <w:tab/>
        <w:t xml:space="preserve">20. непосредствено работещите в лаборатории за радиохимия, радиометрия и спектрометрия във ведомствени и надведомствени служби и лаборатории за радиоактивен контрол на външната среда;</w:t>
        <w:tab/>
        <w:br/>
        <w:tab/>
        <w:t xml:space="preserve">21. работещите със закрити алфа-, бета - и гама-източници;</w:t>
        <w:tab/>
        <w:br/>
        <w:tab/>
        <w:t xml:space="preserve">22. работещите с насипни материали с повишена радиоактивност от естествен характер и със средна специфична активност над 2000 бекерела на килограм;</w:t>
        <w:tab/>
        <w:br/>
        <w:tab/>
        <w:t xml:space="preserve">23. работещите по изпитване, ремонт и поддържане на апаратура, която има монтирани закрити алфа-, бета - и гама-източници;</w:t>
        <w:tab/>
        <w:br/>
        <w:tab/>
        <w:t xml:space="preserve">24. работниците по поддръжка на нерадиационни блокове на прибори за технологичен контрол и автоматизация на производството, използващи гама - лъчи;</w:t>
        <w:tab/>
        <w:br/>
        <w:tab/>
        <w:t xml:space="preserve">25. работещите по монтаж, ремонт и демонтаж на радиационните блокове на прибори за технологичен контрол, използващи закрити бета-източници;</w:t>
        <w:tab/>
        <w:br/>
        <w:tab/>
        <w:t xml:space="preserve">26. работещите с терапевтични рентгенови уредби;</w:t>
        <w:tab/>
        <w:br/>
        <w:tab/>
        <w:t xml:space="preserve">27. работещите по изпитване, ремонт и поддържане на уредби за рентгенови лъчи;</w:t>
        <w:tab/>
        <w:br/>
        <w:tab/>
        <w:t xml:space="preserve">28. работещите с Мьосбауерови анализатори;</w:t>
        <w:tab/>
        <w:br/>
        <w:tab/>
        <w:t xml:space="preserve">29. работещите с открити източници в лаборатории първи, втори и трети клас;</w:t>
        <w:tab/>
        <w:br/>
        <w:tab/>
        <w:t xml:space="preserve">30. работещите с подвижни полеви апарати за рентгенофлуоресцентен анализ в стационарни условия и лаборатории;</w:t>
        <w:tab/>
        <w:br/>
        <w:tab/>
        <w:t xml:space="preserve">31. работещите с медицински ускорители на електрони с енергия до 10 мегаелектронволта;</w:t>
        <w:tab/>
        <w:br/>
        <w:tab/>
        <w:t xml:space="preserve">32. работещите с апарати за рентгеноспектрален анализ, автоматизирани апарати за рентгеноспектрален анализ и автоматизирани апарати за рентгеноструктурен анализ със закрит сноп;</w:t>
        <w:tab/>
        <w:br/>
        <w:tab/>
        <w:t xml:space="preserve">33. работещите по изпитване, ремонт и поддържане на апарати, използващи рентгеново лъчение;</w:t>
        <w:tab/>
        <w:br/>
        <w:tab/>
        <w:t xml:space="preserve">34. работещите с подвижни (полеви) апарати за рентгенофлуоресцентен анализ в полеви условия;</w:t>
        <w:tab/>
        <w:br/>
        <w:tab/>
        <w:t xml:space="preserve">35. работещите по дозиметрия, лъчезащита и радиационна безопасност в специализираните служби и лаборатории;</w:t>
        <w:tab/>
        <w:br/>
        <w:tab/>
        <w:t xml:space="preserve">36. работещите с ускорители на заредени частици;</w:t>
        <w:tab/>
        <w:br/>
        <w:tab/>
        <w:t xml:space="preserve">37. работещите с неутронни източници;</w:t>
        <w:tab/>
        <w:br/>
        <w:tab/>
        <w:t xml:space="preserve">38. работещите в рентген-диагностични екипи на рентгенови отделения (кабинети);</w:t>
        <w:tab/>
        <w:br/>
        <w:tab/>
        <w:t xml:space="preserve">39. работещите в лаборатории за клинична дозиметрия и метрология на йонизиращите лъчения;</w:t>
        <w:tab/>
        <w:br/>
        <w:tab/>
        <w:t xml:space="preserve">40. работещите в нуклеарномедицински, включително радиоимунологични диагмостични лаборатории;</w:t>
        <w:tab/>
        <w:br/>
        <w:tab/>
        <w:t xml:space="preserve">41. работещите с апарати за рентгеноструктурен и открит достъп до рентгенови снимки;</w:t>
        <w:tab/>
        <w:br/>
        <w:tab/>
        <w:t xml:space="preserve">42. работещите в стационарни рентгенови и гама-дефектоскопни лаборатории или използващи преносими дефектоскопи в стационарни условия;</w:t>
        <w:tab/>
        <w:br/>
        <w:tab/>
        <w:t xml:space="preserve">43. работещите със стационарни гамаоблъчватели;</w:t>
        <w:tab/>
        <w:br/>
        <w:tab/>
        <w:t xml:space="preserve">44. работещите по зареждане и разреждане на гамаоблъчвателни установки;</w:t>
        <w:tab/>
        <w:br/>
        <w:tab/>
        <w:t xml:space="preserve">45. работещите с открити течни радиоиндикатори;</w:t>
        <w:tab/>
        <w:br/>
        <w:tab/>
        <w:t xml:space="preserve">46. работещите с уреди за технологичен контрол, използващи неутронни източници;</w:t>
        <w:tab/>
        <w:br/>
        <w:tab/>
        <w:t xml:space="preserve">47. работещите по монтажа, демонтажа и поддържането на неутрализатори за статично електричество;</w:t>
        <w:tab/>
        <w:br/>
        <w:tab/>
        <w:t xml:space="preserve">48. работещите с уреди за телегаматерапия и брахитерапия;</w:t>
        <w:tab/>
        <w:br/>
        <w:tab/>
        <w:t xml:space="preserve">49. работещите в лаборатории по елюиране на генератори за краткоживущи радионуклеиди в институти;</w:t>
        <w:tab/>
        <w:br/>
        <w:tab/>
        <w:t xml:space="preserve">50. работещите в рентгенови ангиографски кабинети;</w:t>
        <w:tab/>
        <w:br/>
        <w:tab/>
        <w:t xml:space="preserve">51. работещите с преносими рентгенови дефектоскопи;</w:t>
        <w:tab/>
        <w:br/>
        <w:tab/>
        <w:t xml:space="preserve">52. персоналът, работещ с гамалинии с активност над 37 гигабекерела;</w:t>
        <w:tab/>
        <w:br/>
        <w:tab/>
        <w:t xml:space="preserve">53. работещите по монтажа, ремонта, поддържането и презареждането на медицински гамаоблъчватели;</w:t>
        <w:tab/>
        <w:br/>
        <w:tab/>
        <w:t xml:space="preserve">54. работещите непосредствено в процедурните помещения и помпени помещения на радонови минерални бани;</w:t>
        <w:tab/>
        <w:br/>
        <w:tab/>
        <w:t xml:space="preserve">55. персоналът, пряко зает с преработка, съхранение и погребване на радиоактивни отпадъци в Централната служба за радиоактивни отпадъци;</w:t>
        <w:tab/>
        <w:br/>
        <w:tab/>
        <w:t xml:space="preserve">56. работещите пряко по провеждането на експерименти на каналите на изследователски реактори;</w:t>
        <w:tab/>
        <w:br/>
        <w:tab/>
        <w:t xml:space="preserve">57. работещите по производството на радиоизотопи с ядрени реактори и ускорители на частици” и</w:t>
        <w:tab/>
        <w:br/>
        <w:tab/>
        <w:t xml:space="preserve">"Параграф 2 от ПЗР на Инструкцията – (1) Ръководителят на ТП на НОИ е длъжен в 7-дневен срок от обнародването на инструкцията да обяви списъците по чл. 2, т. 4, 5, т. 6, буква "в", т. 10 и 12 НКТП .</w:t>
        <w:tab/>
        <w:br/>
        <w:tab/>
        <w:t xml:space="preserve">(2) Ръководителите на необхванатите със списъците по чл. 2, т. 4, 5, т. 6, буква "в", т. 10 и 12 НКТП предприятия в срок до 30 дни след обявяването им са длъжни да информират ТП на НОИ за длъжностите и цеховете, които осъществяват предвидените в тези точки дейности.</w:t>
        <w:tab/>
        <w:br/>
        <w:tab/>
        <w:t xml:space="preserve">(3) Върху дължимите осигурителни вноски за държавно обществено осигуряване за лицата от предприятията по ал. 2 не се дължат лихви, ако вноските са внесени в срок до 30 дни след включването им в списъци.</w:t>
        <w:tab/>
        <w:br/>
        <w:tab/>
        <w:t xml:space="preserve">(4) Върху дължимите осигурителни вноски за държавно обществено осигуряване за лицата, работещи при условията на първа и втора категория труд, не се дължат лихви, ако вноските са внесени в срок до 30 дни след обнародването на инструкцията.</w:t>
        <w:tab/>
        <w:br/>
        <w:tab/>
        <w:t xml:space="preserve">(5) (Нова - ДВ, бр. 63 от 2005 г.) При изплащане на трудови възнаграждения за положен труд на длъжностите, допълнително включени в инструкцията, осигурителите дължат осигурителни вноски в размерите за съответната категория труд.</w:t>
        <w:tab/>
        <w:br/>
        <w:tab/>
        <w:t xml:space="preserve">(6) (Предишна ал. 5 - ДВ, бр. 63 от 2005 г., изм., бр. 41 от 2006 г., в сила от 1.01.2006 г.) Неправилно внесените осигурителни вноски се възстановяват по реда на чл. 128 - 132 от Данъчно-осигурителния процесуален кодекс”.</w:t>
        <w:tab/>
        <w:br/>
        <w:tab/>
        <w:t xml:space="preserve">За посочените разпоредби от Инструкцията се твърди, че противоречат на следните нормативни текстове:</w:t>
        <w:tab/>
        <w:br/>
        <w:tab/>
        <w:t xml:space="preserve">От НКТП: "Чл. 2, т. 12 - От втора категория при пенсиониране е трудът на:</w:t>
        <w:tab/>
        <w:br/>
        <w:tab/>
        <w:t xml:space="preserve">...</w:t>
        <w:tab/>
        <w:br/>
        <w:tab/>
        <w:t xml:space="preserve">работници, специалисти и ръководни служители, работещи постоянно в среда на йонизиращи лъчения без включените в чл. 1, т. 5 и 6 ";</w:t>
        <w:tab/>
        <w:br/>
        <w:tab/>
        <w:t xml:space="preserve">От КСО: "Чл. 104, ал. 1 - Министерският съвет (МС) определя кой труд към коя категория се причислява съобразно характера и особените условия на труд".</w:t>
        <w:tab/>
        <w:br/>
        <w:tab/>
        <w:t xml:space="preserve">На основание чл. 80 от АПК, във вр. с чл. 15, ал. 1 от Закона за нормативните актове, е допустимо оспорването на нормативен акт, противоречащ не само на Конституцията и/или закон, но и на други актове, които са от по-висока степен в сравнение с оспорения.</w:t>
        <w:tab/>
        <w:br/>
        <w:tab/>
        <w:t xml:space="preserve">При проверката на акта и съответствието му с цитираните разпоредби на НКТП и КСО ВАС установи, че противоречие между оспорените членове и на Инструкцията в цялост с такива на актове от по-горна степен не съществува.</w:t>
        <w:tab/>
        <w:br/>
        <w:tab/>
        <w:t xml:space="preserve">Противоречие на Инструкцията като цяло и в частност - на нейните чл. 9, ал. 20 и § 2 от ПЗР на чл. 104, ал. 1 от КСО няма. Разпоредбата на чл. 104, ал. 1 от КСО регламентира и предоставя компетентност на МС по въпроса за определяне на категорията за всеки вид полаган труд на територията на РБ. Това е направено с НКТП - акт, издаден от МС. Сам жалбоподателят не сочи с какво обжалваните текстове (или цялата Инструкция) противоречат на тази норма, поради което и ВАС не може да отговори на един толкова общо поставен въпрос. П. служебната проверка на акта, противоречие на тези норми с чл. 104, ал. 1 от КСО не се установи.</w:t>
        <w:tab/>
        <w:br/>
        <w:tab/>
        <w:t xml:space="preserve">Не се установи противоречие и между оспорените текстове и чл. 2, т. 12 от НКТП. Сравнявайки двете норми е видно, че Инструкцията дословно преповтаря нормата от НКТП. Единствената разлика между тях е, че в Инструкцията не е употребена думата „постоянно”. Разликата обаче не води до противоречие между двете норми. Тя очевидно е от полза на работещите в посочените условия: съгласно Инструкцията, като труд от втора категория ще бъде категоризиран и труда на тези от тях, които не са</w:t>
        <w:tab/>
        <w:br/>
        <w:tab/>
        <w:t xml:space="preserve">постоянно</w:t>
        <w:tab/>
        <w:br/>
        <w:tab/>
        <w:t xml:space="preserve">в "среда на йонизиращи лъчения без включените в чл. 1, т. 5 и 6". За жалбоподателя като синдикална организация, защитаваща професионални права и интереси на работещите в "АЕЦ - Козлодуй" ЕАД, няма правен интерес от отмяната на тази именно разлика.</w:t>
        <w:tab/>
        <w:br/>
        <w:tab/>
        <w:t xml:space="preserve">Във връзка с искането на САЕ за цялостна отмяна на Инструкцията се каза по-горе, че не са изложени конкретни доводи. Това искане е бланкетно и неподкрепено с конкретни доводи и доказателства. Служебната проверка на акта доведе настоящия съдебен състав до извод, че Инструкцията е акт, издаден в съответната писмена форма, от компетентен орган, в кръга на предоставените му правомощия, който е обнародван в ДВ. Управителят на НОИ е задължен и оправомощен с § 4 от ДР на НКТП от МС на РБ да издаде инструкция по прилагането `и. Обжалваният акт е именно този, издаден на основание на посоченото оправомощаване.</w:t>
        <w:tab/>
        <w:br/>
        <w:tab/>
        <w:t xml:space="preserve">Видно от текста на жалбата и обясненията на жалбоподателя е, че всъщност предмет на оспорването му са „списъците по чл. 2, т. 4, 5, 6, буква "в", т. 10 и 12 от НКТП", които съгласно § 2, ал. 1 от Инструкцията е задължен да изготви ръководителят на ТП на НОИ. Последните, на основание § 1 от ДР на същата, се утвърждават от управителя на НОИ, вкл. и за категориите труд, полагани от работещите в АЕЦ Козлодуй. Касаещи пряко този въпрос са и указанията, дадени с писмо изх. № 26-00-778/10.04.2003 г. на главния директор на Главна дирекция „Пенсии”, коментирано в жалбата. Това обаче е въпрос по прилагането на НКТП и оспорената Инструкция, който няма отношение към нейната законосъобразност. Инструкцията е предвидила специална процедура за допълване и промяна на списъците за различните категории труд – чл. 7 от нея, и ако жалбоподателят или работодателят ги оспорват, следва да насочат исканията и възраженията си към ТП на НОИ и чрез него - до Комисията за категоризиране на труда при пенсиониране.</w:t>
        <w:tab/>
        <w:br/>
        <w:tab/>
        <w:t xml:space="preserve">По изложените съображения и на основание чл. 193, ал. 1 от АПК, ВАС</w:t>
        <w:tab/>
        <w:br/>
        <w:tab/>
        <w:t xml:space="preserve">РЕШИ:</w:t>
        <w:tab/>
        <w:br/>
        <w:tab/>
        <w:t xml:space="preserve">ОТХВЪРЛЯ като неоснователно оспорването от Синдикатът на атомните енергетици към Национална федерация на енергетиците при Конфедерация на независимите синдикати в България, изцяло и на чл. 9, ал. 20 и § 2 от ПЗР на Инструкция № 13/31.10.2000 г. за прилагане Наредбата за категоризиране на труда при пенсиониране, издадена от управителя на Националния осигурителен институт и обнародвана в ДВ бр. 94/2000 година.</w:t>
        <w:tab/>
        <w:br/>
        <w:tab/>
        <w:t xml:space="preserve">Решението може да се обжалва пред 5-членен състав на Върховния административен съд в 14-дневен срок от съобщението на страните.</w:t>
        <w:tab/>
        <w:br/>
        <w:tab/>
        <w:t xml:space="preserve">Вярно с оригинала,</w:t>
        <w:tab/>
        <w:br/>
        <w:tab/>
        <w:t xml:space="preserve">ПРЕДСЕДАТЕЛ:</w:t>
        <w:tab/>
        <w:br/>
        <w:tab/>
        <w:t xml:space="preserve">/п/ А. И.</w:t>
        <w:tab/>
        <w:br/>
        <w:tab/>
        <w:t xml:space="preserve">секретар:</w:t>
        <w:tab/>
        <w:br/>
        <w:tab/>
        <w:t xml:space="preserve">ЧЛЕНОВЕ:</w:t>
        <w:tab/>
        <w:br/>
        <w:tab/>
        <w:t xml:space="preserve">/п/ И. Д./п/ М. М.</w:t>
        <w:tab/>
        <w:br/>
        <w:tab/>
        <w:t xml:space="preserve">А.И.</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