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№343/30.11.2020 по гр. д. №501/2019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343</w:t>
        <w:tab/>
        <w:br/>
        <w:tab/>
        <w:t xml:space="preserve"> </w:t>
        <w:tab/>
        <w:br/>
        <w:tab/>
        <w:t xml:space="preserve"> София, 30.11.2020г.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пети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М. П. Ч: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501 по описа за 2019г.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чл.290 ГПК и е приключило с постановен окончателен акт. Срещу същият е подадена недопустима частна жалба от касаторът Р. Ш. А., която е върната с определение № 74 от 28.02.2020г.</w:t>
        <w:tab/>
        <w:br/>
        <w:tab/>
        <w:t xml:space="preserve"> </w:t>
        <w:tab/>
        <w:br/>
        <w:tab/>
        <w:t xml:space="preserve">Срещу същото е подадена частна жалба Р. Ш. А. с вх.№ 2536 от 16.03.2020г. С разпореждане от 19.03.2020г. е оставена без движение за внасяне на държавна такса от 15лв. След като в продължение на два месеца съобщенията за указанията на съда до жалбоподателя бяха изпращани на всички адреси, с които съда разполага - двата посочени от жалбоподателя, на този на пълномощника по делото, както и на съвпадащите настоящ и постоянен адрес на лицето, като от всички адреси те се връщаха в цялост, тъй като адресатът не намерен на адреса, на основание чл.41 ГПК, с акт от 17.11.2020г., докладчикът по делото разпореди съобщението до подалият частна жалба с вх.№ 2536 от 16.03.2020г. Р. Ш. А., съдържащо дадените от съда указания за внасяне на държавна такса, в 7-дневен срок, в размер на 15лв., да се приложи към делото и да се счита за връчено. </w:t>
        <w:tab/>
        <w:br/>
        <w:tab/>
        <w:t xml:space="preserve"> </w:t>
        <w:tab/>
        <w:br/>
        <w:tab/>
        <w:t xml:space="preserve">Имайки пред вид изложеното и обстоятелството, че в предоставения седем дневен срок дадените указания не са изпълнени, настоящият състав на Върховен касационен съд намира, че следва подадената частна жалба да бъде върната, поради което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подадена частна жалба от Р. Ш. А. с вх.№ 2536 от 16.03.2020г.</w:t>
        <w:tab/>
        <w:br/>
        <w:tab/>
        <w:t xml:space="preserve"> </w:t>
        <w:tab/>
        <w:br/>
        <w:tab/>
        <w:t xml:space="preserve">ОПРЕДЕЛЕНИЕТО подлежи на обжалване в частна жалба в 7-дневен срок от съобщаването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