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№27/17.02.2022 по търг. д. №2189/2020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27</w:t>
        <w:tab/>
        <w:br/>
        <w:tab/>
        <w:t xml:space="preserve"/>
        <w:tab/>
        <w:br/>
        <w:tab/>
        <w:t xml:space="preserve"> [населено място], 17.02.2022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в състав :</w:t>
        <w:tab/>
        <w:br/>
        <w:tab/>
        <w:t xml:space="preserve"/>
        <w:tab/>
        <w:br/>
        <w:tab/>
        <w:t xml:space="preserve"> ПРЕДСЕДАТЕЛ: ЕМИЛ МАРКОВ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изслуша докладваното от съдия Добрева т. д. № 2189 по описа за 2020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 по чл. 248 ГПК.</w:t>
        <w:tab/>
        <w:br/>
        <w:tab/>
        <w:t xml:space="preserve"/>
        <w:tab/>
        <w:br/>
        <w:tab/>
        <w:t xml:space="preserve"> Образувано е по молби и на двете страни по делото за изменение /допълване/ на определение № 60206/20.10.2021 г. в частта за разноските. По същество с молбите се претендира присъждане на разноски съобразно изхода на делото. От „Резон“ ООД е направено и възражение по смисъла на чл. 78, ал. 5 ГПК. </w:t>
        <w:tab/>
        <w:br/>
        <w:tab/>
        <w:t xml:space="preserve"/>
        <w:tab/>
        <w:br/>
        <w:tab/>
        <w:t xml:space="preserve">Върховен касационен съд, Търговска колегия, състав на първо търговско отделение, след като обсъди доводите на страните и прецени данните по делото, приема следното:</w:t>
        <w:tab/>
        <w:br/>
        <w:tab/>
        <w:t xml:space="preserve"/>
        <w:tab/>
        <w:br/>
        <w:tab/>
        <w:t xml:space="preserve">Молба вх. № 68 307/02.11.2021 г. е подадена от надлежни страни и в срока по чл. 248, ал. 1 ГПК, поради което се явява процесуално допустима.</w:t>
        <w:tab/>
        <w:br/>
        <w:tab/>
        <w:t xml:space="preserve"/>
        <w:tab/>
        <w:br/>
        <w:tab/>
        <w:t xml:space="preserve">Разгледана по същество молбата е основателна.</w:t>
        <w:tab/>
        <w:br/>
        <w:tab/>
        <w:t xml:space="preserve"/>
        <w:tab/>
        <w:br/>
        <w:tab/>
        <w:t xml:space="preserve">С определение № 60 512/08.09.2021 г. по т. д. № 2189/2020 г. не е допуснат касационен контрол по подадена от „Резон“ ООД касационна жалба. Ответниците по тази жалба са депозирали съвместен отговор чрез процесуалните си представители, за който са представени доказателства, че е заплатено общо възнаграждение в размер на 9 779, 10 лв. Соченото възнаграждение не се явява прекомерно по смисъла на чл. 78, ал. 5 ГПК, предвид разписаните в чл. 7, ал. 1, т. 4, чл. 7, ал. 2, т. 4 и §2а от Допълнителните разпоредби на Наредба № 1/2004 г. правила, при отчитане на завишената фактическа и правна сложност на спора. Ето защо, на ответниците следва да бъдат присъдени разноски в общ размер на посочената по – горе сума.</w:t>
        <w:tab/>
        <w:br/>
        <w:tab/>
        <w:t xml:space="preserve"/>
        <w:tab/>
        <w:br/>
        <w:tab/>
        <w:t xml:space="preserve">Молба вх. № 68 901/22.11.2021 г., подадена от процесуалните представители на „Резон“ ООД, също е в срока по чл. 248, ал. 1 ГПК и е депозирана от надлежна страна. Молбата е и основателна, предвид частично прекратеното производство по настоящото дело с определение № 60 206/20.10.2021 г. и недопускане до касационен контрол на съвместната жалба, подадена от „ШАНЕЛ САС“ и „ШАНЕЛ САРЛ“. Разноски следва да бъдат присъдени на „Резон“ ООД в размер на 5 460 лв., съобразно заплатеното възнаграждение в общ размер на 10 920 лв., включващо възнаграждение за изготвяне на касационна жалба, отговор и осъществяване на процесуално представителство. </w:t>
        <w:tab/>
        <w:br/>
        <w:tab/>
        <w:t xml:space="preserve"/>
        <w:tab/>
        <w:br/>
        <w:tab/>
        <w:t xml:space="preserve">С тези мотиви съставът на първо търговско отделение на ВКС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ОСЪЖДА „Резон“ ООД, ЕИК[ЕИК], да заплати на „ШАНЕЛ САС“ и „ШАНЕЛ САРЛ“, чрез адвокат Чутуркова, сума в размер на 9 779, 10 лв.</w:t>
        <w:tab/>
        <w:br/>
        <w:tab/>
        <w:t xml:space="preserve"/>
        <w:tab/>
        <w:br/>
        <w:tab/>
        <w:t xml:space="preserve">ОСЪЖДА „ШАНЕЛ САС“ и „ШАНЕЛ САРЛ“, чрез адвокат Чутуркова, да заплатят на „Резон“ ООД, ЕИК[ЕИК], сума в размер на 5 460 лв.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 : ЧЛЕНОВЕ 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