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№383/13.05.2010 по ч. търг. д. №335/2010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ч. т.д.№ 335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по ч. т.д. № 335/2010г. е образувано по частна касационна жалба на И. К. С., гр. С. срещу определение № 14734/14.12.09г. по ч. гр. д. № 4640/09г. на Софийския градски съд.</w:t>
        <w:tab/>
        <w:br/>
        <w:tab/>
        <w:t xml:space="preserve"> </w:t>
        <w:tab/>
        <w:br/>
        <w:tab/>
        <w:t xml:space="preserve"> С молба вх. № 150410/16.04.2010г. частният жалбоподател е заявил, че оттегля подадената жалба.</w:t>
        <w:tab/>
        <w:br/>
        <w:tab/>
        <w:t xml:space="preserve"> </w:t>
        <w:tab/>
        <w:br/>
        <w:tab/>
        <w:t xml:space="preserve"> Върховният касационен съд, като взе в предвид молбата от 16.04.2010г. и на основание чл.264, ал.1 във вр. с чл.278, ал.4 ГПК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по ч. т.д. № 335/2010г. по описа на ВКС, ТК, І отд.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