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№5002/01.02.2023 по търг. д. №2044/2022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50024</w:t>
        <w:tab/>
        <w:br/>
        <w:tab/>
        <w:t xml:space="preserve"/>
        <w:tab/>
        <w:br/>
        <w:tab/>
        <w:t xml:space="preserve">гр. София, 01.02.2023г.</w:t>
        <w:tab/>
        <w:br/>
        <w:tab/>
        <w:t xml:space="preserve"/>
        <w:tab/>
        <w:br/>
        <w:tab/>
        <w:t xml:space="preserve">ВЪРХОВEН КАСАЦИОНЕН СЪД, Търговска колегия, I отделение, в закрито заседание на …………….. през две хиляди и двадесет и трета година в състав:Председател: Е. Ч</w:t>
        <w:tab/>
        <w:br/>
        <w:tab/>
        <w:t xml:space="preserve"/>
        <w:tab/>
        <w:br/>
        <w:tab/>
        <w:t xml:space="preserve"> Членове: В. Х</w:t>
        <w:tab/>
        <w:br/>
        <w:tab/>
        <w:t xml:space="preserve"/>
        <w:tab/>
        <w:br/>
        <w:tab/>
        <w:t xml:space="preserve"> Е. Аато разгледа докладваното от съдия Арнаучкова т. д. № 2044 по описа на ВКС за 2022г. и, за да се произнесе, взе предвид следното:</w:t>
        <w:tab/>
        <w:br/>
        <w:tab/>
        <w:t xml:space="preserve"/>
        <w:tab/>
        <w:br/>
        <w:tab/>
        <w:t xml:space="preserve">Постъпила е молба, вх.№ 500570/26.01.2023г., подадена от „Риск инженеринг“ АД, представлявано от изпълнителния директор Н. Б., с искане за прекратяване на производството, поради оттегляне на подадената касационна жалба, предвид постигнато между страните по делото извънсъдебно споразумение.</w:t>
        <w:tab/>
        <w:br/>
        <w:tab/>
        <w:t xml:space="preserve"/>
        <w:tab/>
        <w:br/>
        <w:tab/>
        <w:t xml:space="preserve">Производството по т. д. № 2044 по описа на ВКС за 2022г. е образувано по подадената чрез адв.М. Ч., касационна жалба на „Риск инженеринг“ АД, представлявано от изпълнителния директор Н. Б., срещу решение № 1013 от 07.07.2022г. по възз. гр. д. № 3934/2021г. на САС, с което е потвърдено решение № 265367/11.08.2021г. по гр. д.№ 10580/2020г. на СГС.</w:t>
        <w:tab/>
        <w:br/>
        <w:tab/>
        <w:t xml:space="preserve"/>
        <w:tab/>
        <w:br/>
        <w:tab/>
        <w:t xml:space="preserve">Постъпил е в срок писмен отговор от Е. Ю., подаден чрез адв. А. П., с който касационната жалба се оспорва.Претендира за присъждане на разноски.</w:t>
        <w:tab/>
        <w:br/>
        <w:tab/>
        <w:t xml:space="preserve"/>
        <w:tab/>
        <w:br/>
        <w:tab/>
        <w:t xml:space="preserve">Съставът на I т. о., въз основа на данните по делото, намира следното:</w:t>
        <w:tab/>
        <w:br/>
        <w:tab/>
        <w:t xml:space="preserve"/>
        <w:tab/>
        <w:br/>
        <w:tab/>
        <w:t xml:space="preserve">Налице са условията по чл. 264, ал. 1 ГПК за прекратяване на касационното производство. Касаторът има възможност във всяко положение на делото да оттегли подадената от него касационна жалба, което може да направи лично или чрез процесуален представител.В случая е подадена изрична писмена молба за оттегляне на касационната жалба, въз основа на която е образувано касационнното производство, изхождаща от представляващия касатора. </w:t>
        <w:tab/>
        <w:br/>
        <w:tab/>
        <w:t xml:space="preserve"/>
        <w:tab/>
        <w:br/>
        <w:tab/>
        <w:t xml:space="preserve">Съгласно чл. 78, ал. 4 ГПК, ответникът по касация има право на разноски при прекратяване на делото, но в случая такива не се присъждат, тъй като не са представени доказателства за направени разноски и за техния размер.</w:t>
        <w:tab/>
        <w:br/>
        <w:tab/>
        <w:t xml:space="preserve"/>
        <w:tab/>
        <w:br/>
        <w:tab/>
        <w:t xml:space="preserve">Мотивиран от това, съставът на I т. о.:ОПРЕДЕЛИ:</w:t>
        <w:tab/>
        <w:br/>
        <w:tab/>
        <w:t xml:space="preserve"/>
        <w:tab/>
        <w:br/>
        <w:tab/>
        <w:t xml:space="preserve">Прекратява производството по т. д.№ 2044г. по описа на ВКС за 2022г.</w:t>
        <w:tab/>
        <w:br/>
        <w:tab/>
        <w:t xml:space="preserve"/>
        <w:tab/>
        <w:br/>
        <w:tab/>
        <w:t xml:space="preserve">Обявява за влязло в сила решение № 1013 от 07.07.2022г. по възз. гр. д. № 3934/2021г. на САС.</w:t>
        <w:tab/>
        <w:br/>
        <w:tab/>
        <w:t xml:space="preserve"/>
        <w:tab/>
        <w:br/>
        <w:tab/>
        <w:t xml:space="preserve">Определението може да се обжалва с частна жалба пред друг състав на Търговската колегия на Върховния касационен съд в едноседмичен срок от съобщаването му на касатора.</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