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№127/27.01.2010 по ч. търг. д. №27/2010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27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по частна жалба на “Ю” А., Т. срещу определение № 331/06.10.2009г., постановено по ч. гр. д. № 594/2009г. от Великотърновския апелативен съд, с което се е произнесъл по повдигнат спор за подсъдност и е постановил, че спорът е подсъден като първа инстанция на Районен съд – гр. С..</w:t>
        <w:tab/>
        <w:br/>
        <w:tab/>
        <w:t xml:space="preserve"> </w:t>
        <w:tab/>
        <w:br/>
        <w:tab/>
        <w:t xml:space="preserve"> Касаторът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констатира, че частната жалба е подадена от надлежна страна в срока по чл.275, ал.1 ГПК, но е недопустима съгласно чл.274, ал.2 ГПК.</w:t>
        <w:tab/>
        <w:br/>
        <w:tab/>
        <w:t xml:space="preserve"> </w:t>
        <w:tab/>
        <w:br/>
        <w:tab/>
        <w:t xml:space="preserve"> Съгласно чл.274, ал.2 ГПК на обжалване пред ВКС подлежат определенията на въззивните съдилища, с които се прегражда по-нататъшното развитие на делото и в случаите, изрично предвидени в закона.</w:t>
        <w:tab/>
        <w:br/>
        <w:tab/>
        <w:t xml:space="preserve"> </w:t>
        <w:tab/>
        <w:br/>
        <w:tab/>
        <w:t xml:space="preserve">Определението по чл.122 ГПК, постановено по спор за подсъдност, не е преграждащо по смисъла на чл.274, ал.1, т.1 ГПК. В разпоредбата, оправомощаваща апелативният съд да разреши спор за подсъдност, не е предвидена атакуемост на акта, с който се произнася. ВКС разрешава спорове за подсъдност, в които участва апелативен съд, но не осъществява инстанционен контрол на определенията по чл.122 ГПК.</w:t>
        <w:tab/>
        <w:br/>
        <w:tab/>
        <w:t xml:space="preserve"> </w:t>
        <w:tab/>
        <w:br/>
        <w:tab/>
        <w:t xml:space="preserve"> По тези съображения подадена частна жалба следва да се остави без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жалба на “Ю” А., Т. срещу определение № 331/06.10.2009г., постановено по ч. гр. д. № 594/2009г. от Великотърновския апелативен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пред друг състав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