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№564/18.07.2011 по ч. търг. д. №293/2011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564 </w:t>
        <w:tab/>
        <w:br/>
        <w:tab/>
        <w:t xml:space="preserve"> </w:t>
        <w:tab/>
        <w:br/>
        <w:tab/>
        <w:t xml:space="preserve">Гр.С., 18.07.2011г.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четиринадесети юли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Д. П. 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ч. т.д.№ 293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 ГПК.</w:t>
        <w:tab/>
        <w:br/>
        <w:tab/>
        <w:t xml:space="preserve"> </w:t>
        <w:tab/>
        <w:br/>
        <w:tab/>
        <w:t xml:space="preserve"> Образувано е по частна касационна жалба на С. Г. Г., [населено място] срещу определение № 248/21.02.2011г., постановено по ч. т.д.№ 1590/10г., с което Софийският апелативен съд е потвърдил определение от 23.09.2010г. по т. д.№ 01609/06г. на Софийския градски съд за прекратяване на производството по делото.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наличието на предпоставките по чл.280, ал.1 ГПК.</w:t>
        <w:tab/>
        <w:br/>
        <w:tab/>
        <w:t xml:space="preserve"> </w:t>
        <w:tab/>
        <w:br/>
        <w:tab/>
        <w:t xml:space="preserve">Върховният касационен съд, Търговска колегия, І отд. констатира, че частната жалба е подадена от надлежна страна, срещу акт, подлежащ на обжалване по реда на чл.274, ал.3 ГПК, и е спазен преклузивният срок по чл.275 ГПК.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заличаването на ответника – търговско дружество [фирма] от търговския регистър, има за последица липса на надлежна страна в процеса, а възобновяването на производството по ликвидация при условията на чл.273, ал.2 ТЗ не възстановява правосубектността. Възобновяването на ликвидационното производство е само досежно необходимостта от извършване на действия при наличието на неразпределено имущество. На следващо място, са изложени и съображения, че размерът на ликвидационния дял се определя от остатъчното имущество, докато в случая, искът е предявен за установяване на притежавания брой акции чрез вписване в книгата на акционерите, чиято номинална стойност не е идентична с частта на остатъчното имущество.</w:t>
        <w:tab/>
        <w:br/>
        <w:tab/>
        <w:t xml:space="preserve"> </w:t>
        <w:tab/>
        <w:br/>
        <w:tab/>
        <w:t xml:space="preserve"> Настоящият състав на ВКС, ТК, І отд.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Частният жалбоподател поставя въпросите за съществуването на надлежна страна в исковия процес при възобновяване на производството по ликвидация по чл.273, ал.2 ТЗ, за допустимостта на вписване на заличаване на търговец при висящност на исково производство и за правото на страната да атакува вписването на заличаването на търговеца.</w:t>
        <w:tab/>
        <w:br/>
        <w:tab/>
        <w:t xml:space="preserve"> </w:t>
        <w:tab/>
        <w:br/>
        <w:tab/>
        <w:t xml:space="preserve"> Посочените въпроси са разрешени с Решение № 124/26.11.2009г. по т. д.№ 152/09г. на ВКС, ТК, І отд. и Решение № 2/17.02.2010г. по т. д.№ 401/09г. на ВКС, ТК, І отд., постановени по реда на чл.290 ГПК. Въззивното определение съответства на дадените разрешения, поради което не са налице основанията за касационен контрол, както по чл.280, ал.1, т.1 ГПК, така и по чл.280, ал.1, т.3 ГПК.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определение № 248/21.02.2011г., постановено по ч. т.д.№ 1590/10г. от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