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№2666/27.05.2025 по ч.гр.д. №1350/2025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2666</w:t>
        <w:tab/>
        <w:br/>
        <w:tab/>
        <w:t xml:space="preserve"/>
        <w:tab/>
        <w:br/>
        <w:tab/>
        <w:t xml:space="preserve">гр. София, 27.05.2025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първи май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ч. гр. дело № 1350 по описа на Върховния касационен съд за 2025 година,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2093/28.04.2025 г. постановено по настоящото дело е потвърдено определение № 617/16.12.2024 г. по в. ч. гр. д. № 483/2024 г. на Апелативен съд – Бургас. Със същото определение на ВКС, на адвокат Х. Н. Т., назначена на основание чл. 47, ал. 6 ГПК за особен представител на ответницата А. К., е определено възнаграждение за осъщественото процесуално представителство в настоящото производство в размер на сумата 200 лв., като частният жалбоподател - ищец в процеса „Водоснабдяване и канализация“ ЕАД, [населено място] е бил задължен да го внесе по сметката на ВКС.</w:t>
        <w:tab/>
        <w:br/>
        <w:tab/>
        <w:t xml:space="preserve"/>
        <w:tab/>
        <w:br/>
        <w:tab/>
        <w:t xml:space="preserve">С молба вх. № 9000/15.05.2025 г. на „Водоснабдяване и канализация“ ЕАД, [населено място], по делото е представено платежно нареждане от 14.05.2025 г., видно от което частният жалбоподател е внесъл определената от съда сума за възнаграждение на особения представител на ответницата К.. Върху платежно нареждане е направено отбелязване от 15.05.2025 г. от счетоводството на ВКС, че сумата от 200 лв. е постъпила по сметката на ВКС за обезпечения.</w:t>
        <w:tab/>
        <w:br/>
        <w:tab/>
        <w:t xml:space="preserve"/>
        <w:tab/>
        <w:br/>
        <w:tab/>
        <w:t xml:space="preserve">Постъпилата сума, следва да се изплати като възнаграждение на адвокат Х. Н. Т., назначена на основание чл. 47, ал. 6 ГПК за особен представител на ответницата А. К.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ДА СЕ ИЗПЛАТИ на адвокат Х. Н. Т., назначена на основание чл. 47, ал. 6 ГПК за особен представител на ответницата А. Х. К., внесеното по сметка на ВКС с преводно нареждане от 14.05.2025 г. възнаграждение за особен представител в размер на 200 лв. (двеста лева).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