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№1554/22.05.2025 по търг. д. №396/2024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1554</w:t>
        <w:tab/>
        <w:br/>
        <w:tab/>
        <w:t xml:space="preserve"/>
        <w:tab/>
        <w:br/>
        <w:tab/>
        <w:t xml:space="preserve">гр. София, 22.05.2025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дванадесети май,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д.№396 по описа за 2024 г. и взе предвид, че по отношение на „МКМ Трейд“ ЕООД, „МКМ-БГ груп“ ЕООД и „ТК Рувитекс индъстри ЕООД първоинстанционното решение №1368 от 05.12.2022 г. по т. д.№382/2022 г. на СГС е влязло в сила и посочените дружества не са били страна във въззивното производство по в. т.д.№304/2023 г. на САС,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ОТМЕНЯ протоколно определение от 25.03.2025 г. по т. д.№396/2024 г. в частта, с която е постановено призоваване на „МКМ Трейд“ ЕООД, „МКМ-БГ груп“ ЕООД и „ТК Рувитекс индъстри ЕООД за съдебно заседание на 10.06.2025 г. от 10.30 ч. </w:t>
        <w:tab/>
        <w:br/>
        <w:tab/>
        <w:t xml:space="preserve"/>
        <w:tab/>
        <w:br/>
        <w:tab/>
        <w:t xml:space="preserve"> Определението не може да се обжалва.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