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№273/14.06.2019 по ч.гр.д. №2235/2019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273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14.06.2019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тринадесети юни,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№2235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> </w:t>
        <w:tab/>
        <w:br/>
        <w:tab/>
        <w:t xml:space="preserve">Обжалвано е разпореждане от 18.04.2019г. по гр. д.№93/2019г. на АС В.Търново, с което е върната частна касационна жалба на Б. Б. срещу определение от 11.03.2019г., с което е потвърдено разпореждане на ОС Габрово за връщане искова молба на частния жалбоподател.</w:t>
        <w:tab/>
        <w:br/>
        <w:tab/>
        <w:t xml:space="preserve"> </w:t>
        <w:tab/>
        <w:br/>
        <w:tab/>
        <w:t xml:space="preserve">Жалбоподателят –Б. Б. Б. моли да бъде отменено определението за връщане на частната му жалба и да бъде даден ход на исковата му молба.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 тези данни, приема за установено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 и е допустима.</w:t>
        <w:tab/>
        <w:br/>
        <w:tab/>
        <w:t xml:space="preserve"> </w:t>
        <w:tab/>
        <w:br/>
        <w:tab/>
        <w:t xml:space="preserve">С определение от 1.03.2019г. по гр. д.№93/2019г. АС В.Търново е потвърдил разпореждане №149/ 12.02.2019г. по гр. д. №99/2018г. на ОС - Габрово, с което, на осн. чл. 129, ал.3 ГПК е върната искова молба вх. №4269/06.12.2018г. по описа на ГОС, подадена от Б. Б. срещу А. Ц. Н. поради неотстраняване нередовността й и е прекратено производството по делото. Въззивният съд е установил, че пред Габровски окръжен съд е подадена искова молба с вх. № 4269/06.12.2018г., от Б. Б. с искане да се осъди ответника за причинените му неимуществени вреди в размер на 1000000 лв. от действията му, които му причинили много силен стрес и негативни вреди на спокойствието му, извършени на 10.01.2017г., а именно - обвинил ищецът, че му откраднал кучето. В исковата молба ищецът е посочил, че не знае точният адрес на ответника, поради което съдът да го намери със служебна справка. Прието е, че първоинстанционният съд е положил всички усилия да установи името и адреса на лицето, сочено като ответник от ищеца - направил е надлежна проверка в НБД и след като от същата е установено, че лице с посочените в исковата молба имена не съществува, е оставил без движение същата с указания в тази насока. Тези указания не са изпълнени - ищецът не е уточнил нито името, нито адреса на ответника, срещу който търси съдебна защита, поради което въззивният съд при тези данни е счел, че исковата молба правилно е върната.</w:t>
        <w:tab/>
        <w:br/>
        <w:tab/>
        <w:t xml:space="preserve"> </w:t>
        <w:tab/>
        <w:br/>
        <w:tab/>
        <w:t xml:space="preserve">За постановеното от въззивния съд определение е съобщено на частния жалбоподател на 15.03.2019г., а последният го е обжалвал на 01.04.2019г. При тези данни с обжалваното разпореждане въззивният съд на основание чл.286, ал.1, т.1 ГПК е върнал жалбата.</w:t>
        <w:tab/>
        <w:br/>
        <w:tab/>
        <w:t xml:space="preserve"> </w:t>
        <w:tab/>
        <w:br/>
        <w:tab/>
        <w:t xml:space="preserve">Настоящият състав намира, че обжалваното разпореждане следва да се потвърди. Съобразно трайно установената и непротиворечива съдебна практика, срокът за депозиране на жалби започва да тече от момента, в който надлежно е документиран факта на уведомяване на страната или нейния пълномощник (респ. съдебен адресат). В настоящия случай срокът по чл.275, ал.1 ГПК е започнал да тече с връчването на съобщението на Б. Б. на 15.03.2019г. и съответно - по правилото на чл.60, ал.4 ГПК срокът е изтекъл на 22.03.2019г., петък, присъствен ден. Частната касационната жалба с вх. № 3156 е подадена от Б. Б. на 01.04.2019г., към който момент срокът вече е изтекъл. Съответно частната касационна жалба се явява просрочена и като такава е подлежала на връщане на основание чл.286, ал.1, т.1, вр. чл.275, ал.1 ГПК. Като се е произнесъл в този смисъл АС В.Търново е постановил законосъобразен акт.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ПОТВЪРЖДАВА разпореждане от 18.04.2019г. по гр. д.№93/2019г. на АС В.Търново.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