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№1040/29.07.2020 по адм. д. №5082/2020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директора на Дирекция „Социално подпомагане“ – Кюстендил против решение № 34 / 06. 02. 2020 г. по адм. дело № 493 / 2019 г. на Административен съд – Кюстендил. Поддържат се оплаквания за неправилност поради нарушение на материалния закон във връзка с прилагането на чл. 20 от Закон за хората с увреждания (ЗХУ), чл. 12 от Закон за личната помощ (ЗЛП) и необоснованост – касационни основания по чл. 209, т. 3 АПК.</w:t>
        <w:tab/>
        <w:br/>
        <w:tab/>
        <w:t xml:space="preserve">Ответникът по касационната жалба – Г.З, от [населено място] изразява становище за неоснователност на същата. Чрез адв.. З от АК – Кюстендил представя подробен отговор на касационната жалба, с който моли първоинстанционното съдебно решение да бъде оставено в сила. Представя и писмени бележки.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решение № 34 / 06. 02. 2020 г. по адм. дело № 493 / 2019 г. Административен съд – Кюстендил е отменил по жалба на Г.З, от [населено място]направление за включване в механизма „Лична помощ“ № 19013802 / 09. 09. 2019 г., издадено от и. д. директор на Дирекция „Социално подпомагане“ – Кюстендил, потвърдено с решение № 10 – РД06 – 0011 / 27. 09. 2019 г. на директора на Регионална дирекция „Социално подпомагане“ – Кюстендил и е изпратил преписката на административния орган за издаване на нов акт при съобразяване на дадените указания по тълкуване и прилагане на закона. Присъдил е разноски. Решението е правилно.</w:t>
        <w:tab/>
        <w:br/>
        <w:tab/>
        <w:t xml:space="preserve">По делото е установено, че директорът на Дирекция „Социално подпомагане“ – Кюстендил е бил сезиран със заявление-декларация от Г.З, в качеството й на лице с увреждания.</w:t>
        <w:tab/>
        <w:br/>
        <w:tab/>
        <w:t xml:space="preserve">Случаят е бил възложен на служител от специализирания отдел и същият е осъществил личен контакт със заявителката в нейния дом, провел е интервю с нея и е отразил данните в надлежен формуляр по чл. 3 от Методиката за извършване на индивидуална оценка на потребностите от подкрепа на хора с увреждания (приета от Министерския съвет на основание чл. 22, ал. 3 ЗХУ).</w:t>
        <w:tab/>
        <w:br/>
        <w:tab/>
        <w:t xml:space="preserve">Специализираният отдел към Дирекция „Социално подпомагане“ – Кюстендил е провел заседание на което е била изготвена индивидуалната оценка на потребностите на Г.З.</w:t>
        <w:tab/>
        <w:br/>
        <w:tab/>
        <w:t xml:space="preserve">С оспореното Направление за включване в механизма "Лична помощ" № 19013802 / 09. 09. 2019 г., издадено от и. д. директор на Дирекция "Социално подпомагане" – Кюстендил, на осн. Чл. 25, ал. 2 от Закон за хората с увреждания са определени 135 броя часове месечно за лична помощ, при срок на валидност на направлението до 05. 09. 2024 г. Органът е мотивирал издадения административен акт със заключенията в индивидуалната оценка на потребностите на заявителката Захариева.</w:t>
        <w:tab/>
        <w:br/>
        <w:tab/>
        <w:t xml:space="preserve">От приложените към административната преписка ЕР № 1162 / 28. 07. 1997 г. на ТЕЛК - обща, е видно, че на заявителката е била определена първа група инвалидност с чужда помощ пожизнено при диагноза: [диагноза].</w:t>
        <w:tab/>
        <w:br/>
        <w:tab/>
        <w:t xml:space="preserve">Налице са данни, сочещи за негодност за всякакъв вид труд и самообслужване в битово отношение поради тежките двигателни нарушения с невъзможност за самостоятелно придвижване, дихателни нарушения, артериална хипертония и налагащо се непрекъснато заместително лечение.</w:t>
        <w:tab/>
        <w:br/>
        <w:tab/>
        <w:t xml:space="preserve">Съдът е приел съдебно-медицинска експертиза, която установява, че Г.З е в задоволително общо състояние, контактна и адекватна, с пълен обем на движения на очните ябълки във всички посоки, със социално адекватен слух и непостоянна дисфагия. Същата е с невъзможна подохка, долна вяла парапареза – тежка степен с възможност за повдигане на краката в рамките на леглото до 10 градуса; невъзможност за самостоятелно изправяне, сядане и обръщане в леглото, като за преместване се ползва оборудване – пациента лифтер /хамак/, съотв. за извеждане навън - микробус с инвалидна платформа; хипотония и хипотрофия на дисталната мускулатура на горните крайници с настъпваща умора при натоварване и с бавно възстановяване; намалена мускулна сила при пълен юмручен и върхов захват; използване на горните крайници в умерена степен; оточни подбедрици с трофични промени, деформирани стъпала с екстензорна контрактура в глезенните стави, вътрешно ротирани; персистиращи гълтателни и дихателни нарушения със затруднено дишане, налагащо кислородотерапия, във връзка с която се ползва портативен кислороден концентратор, както и уред за определяне и мониторинг на кислородната сатурация – пулсов оксиметър; тазоворезервоарни смущения с незадръжка на урина.</w:t>
        <w:tab/>
        <w:br/>
        <w:tab/>
        <w:t xml:space="preserve">Изводите на вещото лице са за тежка степен на инвалидизация и засягане на жизненоважни функции – гълтане и дишане, вследствие на което същата не може да изпълнява ежедневни битови дейности самостоятелно, не може да поддържа кислородната апаратура и не може да прилага назначената по схема парентерална терапия извън определените часове за личен асистент.</w:t>
        <w:tab/>
        <w:br/>
        <w:tab/>
        <w:t xml:space="preserve">В случаите когато Захариева е изпадала в остра дихателна недостатъчност тя не може сама да приведе в действие апарата за изследване на кислородната сатурация, както и кислородния концентратор, поради което се нуждае от постоянно наблюдение.</w:t>
        <w:tab/>
        <w:br/>
        <w:tab/>
        <w:t xml:space="preserve">Съгласно разпоредбата на чл. 10, ал. 3 от Методиката за извършване на индивидуална оценка на потребностите от подкрепа на хора с увреждания (Методиката) конкретният месечен брой часове за предоставяне на лична помощ за лицето с увреждане се определя в съответствие с част 7, т. 7. 3 от приложение № 2, а именно полученият общ брой точки се умножава по коефициент от 1, 235. Правилно административният съд е приел, че са приложени неточно материалноправните разпоредби.</w:t>
        <w:tab/>
        <w:br/>
        <w:tab/>
        <w:t xml:space="preserve">Съгласно т. 7. 3 от утвърдения формуляр – приложение № 2 към Методиката, към която препраща разпоредбата на чл. 10, ал. 3 от Методиката, общият брой точки е сбор от получените точки по 4. 1, 4. 2, 4. 3, 4. 4, 5. 1, 5. 2 и 5. 3 от същия формуляр. Анализирайки относимите части от формуляра съобразно медицинските документи по делото и съдебно - медицинската експертиза, съдът обосновано е констатирал несъответствие на отправните точки с обективното състояние на заявителката. Такова несъответствие касае оценката на показателите по част 4. 1 - Двигателното функциониране на оспорващата и конкретно 4. 1.1- способност за самостоятелно и осъзнато използване на ръцете за отваряне и затваряне на врата, за пускане и спиране на чешма; по част 4. 2 – Самообслужване и конкретно 4. 2.1 - способност за самостоятелно миене на части от тялото, 4. 2.4 - способност за самостоятелно сервиране на храната и 4. 2.6 - способност за самостоятелно ставане и лягане за сън; по част 4. 3 – Ориентация и самозащита и конкретно 4. 3.2 – способност за самостоятелно и осъзнато искане на помощ, както и за съобщаване за наличието на проблеми.</w:t>
        <w:tab/>
        <w:br/>
        <w:tab/>
        <w:t xml:space="preserve">Съгласно разпоредбата на чл. 25 ал. 2 ЗХУ направления за предоставяне на лична помощ с определен брой часове, социални услуги или друг вид подкрепа се издават въз основа на заключенията в индивидуалната оценка на потребностите. Индивидуална оценка на потребностите е комплексна и съобразно чл. 20 ЗХУ изследва функционалните затруднения на човека с увреждане, свързани със здравословното състояние и наличието на бариери при изпълнение на ежедневните и други дейности, както и вида на подкрепата.</w:t>
        <w:tab/>
        <w:br/>
        <w:tab/>
        <w:t xml:space="preserve">Обосновано в случая съдът е приел, че се касае за тежка степен на инвалидизация на оспорващата със засягане на жизненоважни функции, вследствие на което самостоятелното й обслужване в ежедневието е невъзможно, а нуждата от постоянно наблюдение и грижи е перманентна. При установената степен на тотална зависимост определените 135 часа месечно, съответстващи на около четири часа и половина дневно не отразяват адекватно нуждата й от "лична помощ" съобразена с индивидуалните потребности, както и с принципите по чл. 2 и чл. 4 от ЗХУ и чл. 2 от ЗЛП.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34 / 06. 02. 2020 г. по адм. дело № 493 / 2019 г. на Административен съд – Кюстендил.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