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№77/22.01.2016 по гр. д. №6205/2015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77</w:t>
        <w:tab/>
        <w:br/>
        <w:tab/>
        <w:t xml:space="preserve"> </w:t>
        <w:tab/>
        <w:br/>
        <w:tab/>
        <w:t xml:space="preserve">София, 22. 01.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януари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№6205/2015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вх.№3874/30. 9.2015 г., подадена от адвокат В. П. – процесуален представител на ответника по исковата молба А. В. К. от [населено място], област С., против въззивно решение №391/21. 7.2015 г. по гр. д.№215/2015 г. по описа на Смолянския окръжен съд.</w:t>
        <w:tab/>
        <w:br/>
        <w:tab/>
        <w:t xml:space="preserve"> </w:t>
        <w:tab/>
        <w:br/>
        <w:tab/>
        <w:t xml:space="preserve">С обжалваното решение е обезсилено решение №17/23. 01. 2015 г. по гр. д.№241/2014 г. по описа на Маданския районен съд, с което са отхвърлени предявените от Б. л. с. – С., против А. В. К. искове и делото е иззето за разглеждане като първа инстанция от Смолянския окръжен съд. Изводите си съдът е обосновал с разпоредбата на чл. 104, т. 4 ГПК, при наличието на предявени главен иск с размер 33053, 42 лева, с правно основание чл. 79, във връзка с чл. 280 ЗЗД и акцесорен с правно основание чл. 86 ЗЗД. Изложени са съображения, че главната претенция е формирана от посоченото от ищеца обстоятелство, че задължението на ищеца произтича от качеството му на председател на УС на Б. и сключваните от него договори по описаните в исковата молба и уточнителната такава фактури.</w:t>
        <w:tab/>
        <w:br/>
        <w:tab/>
        <w:t xml:space="preserve"> </w:t>
        <w:tab/>
        <w:br/>
        <w:tab/>
        <w:t xml:space="preserve">В изложението по чл. 284, ал. 3, т. 1 ГПК се твърди, че са налице основания за допустимост на въззивното решение до касационно обжалване по чл. 280, ал. 1, т. 1 ГПК и се поставя правен въпрос относно родовата подсъдност на спора за отговорността на ответника като председател на Б. по договор за възлагане управлението на съсловната организация, основани на няколко самостоятелни и отделни правни деяния, състоящи се в различни отделни нарушения на задълженията на ответника, и следва ли те да се приемат за разглеждане като един иск, основан на общо правоотношение или представляват няколко обективно съединени иска с отделна цена за всеки от тях, съответно за определяне на родовата компетентност. Сочат се три определения на ВКС, които се представят.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Ответникът по касация – Б. л. с. – С.,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на основанията за допускане на касационното обжалване по чл. 280 ГПК намира, че жалбата е подадена в законния срок. За да се произнесе по допускане на въззивното решение до касационно обжалване съдът взе предвид следното:</w:t>
        <w:tab/>
        <w:br/>
        <w:tab/>
        <w:t xml:space="preserve"> </w:t>
        <w:tab/>
        <w:br/>
        <w:tab/>
        <w:t xml:space="preserve">Въззивното решение не следва да бъде допуснато до касационно обжалване по следните съображения:</w:t>
        <w:tab/>
        <w:br/>
        <w:tab/>
        <w:t xml:space="preserve"> </w:t>
        <w:tab/>
        <w:br/>
        <w:tab/>
        <w:t xml:space="preserve">В установената си трайна и непротиворечива практика ВКС приема, че когато вземанията произтичат от едно правоотношение, във връзка с изпълнението по него, претенцията за вземания относно цената, чиято стойност може да бъде предмет на отделни фактури, представлява един иск. </w:t>
        <w:tab/>
        <w:br/>
        <w:tab/>
        <w:t xml:space="preserve"> </w:t>
        <w:tab/>
        <w:br/>
        <w:tab/>
        <w:t xml:space="preserve">В настоящия случай се касае за претендирано задължение, произтичащо от разпоредбата на чл. 9, т. 4, във връзка с чл. 14, ал. 1 от Закона за съсловните организации на лекарите и на лекарите по дентална медицина, за организиране, ръководство на работата и представителство на Б., поради което е налице едно правоотношение. Поради това въззивният съд е приложил закона точно по отношение подсъдността на спора по смисъла на чл. 104, т. 4 ГПК, като приел че се касае по два иска – главен и акцесорен, като първият от тях е с цена над 25000 лева, и родовата подсъдност на спора пред първа инстанция е окръжен съд. Без значение е обстоятелството за генезиса на претенцията, а именно тя се отнася до вземания по фактури, по които цената на всяка една от тях е под 25000 лева. Този генезис би имал значение, когато ищецът претендира пряко срещу всеки от съконтрахентите по фактурите вземания, какъвто не е конкретния случай.</w:t>
        <w:tab/>
        <w:br/>
        <w:tab/>
        <w:t xml:space="preserve"> </w:t>
        <w:tab/>
        <w:br/>
        <w:tab/>
        <w:t xml:space="preserve">Сочената от касационния жалбоподател практика не е по чл. 290 и сл. ГПК, поради което е неотносима.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на въззивно решение №391/21. 7.2015 г. по гр. д.№215/2015 г. по описа на Смолянския окръжен съд, по касационна жалба, вх.№3874/30. 9.2015 г., подадена от адвокат В. П. – процесуален представител на ответника по исковата молба А. В. К. от [населено място], област С..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