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№2004/05.07.2023 по ч.гр.д. №4451/2022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2004/05. 07. 2023 г.Върховен касационен съд на Република България, Гражданска колегия, Четвърто отделение в закритото заседание на пети юли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4451 по описа за 2022 г.</w:t>
        <w:tab/>
        <w:br/>
        <w:tab/>
        <w:t xml:space="preserve"/>
        <w:tab/>
        <w:br/>
        <w:tab/>
        <w:t xml:space="preserve">Делото е образувано по частна касационна жалба на КПКОНПИ, процесуален субституент на държавата, ищец по разгледаните искове, срещу определение № 397/03. 10. 2022 г. по гр. д. № 125/2021 г., с което Апелативен съд – Велико Търново на основание чл. 248 ГПК е изменил въззивното решение в частта по разноските, присъждайки възнаграждение по чл. 38, ал. 2 ЗЗД за осъщественото безплатно процесуално представителство на двамата ответници П. И. и И. И. във въззивното производство.</w:t>
        <w:tab/>
        <w:br/>
        <w:tab/>
        <w:t xml:space="preserve"/>
        <w:tab/>
        <w:br/>
        <w:tab/>
        <w:t xml:space="preserve">Пред настоящия състав на Върховния касационен съд е образувано и гр. д. № 4452/2022 г. по касационната жалба на КПКОНПИ срещу въззивното решение.</w:t>
        <w:tab/>
        <w:br/>
        <w:tab/>
        <w:t xml:space="preserve"/>
        <w:tab/>
        <w:br/>
        <w:tab/>
        <w:t xml:space="preserve"> Между предметите на двете дела има връзка. По аналогия с чл. 213 ГПК частното производство следва да се присъедини към образуваното основно касационно производство и двете да са разгледат съвместно.</w:t>
        <w:tab/>
        <w:br/>
        <w:tab/>
        <w:t xml:space="preserve"/>
        <w:tab/>
        <w:br/>
        <w:tab/>
        <w:t xml:space="preserve">При тези мотиви, съдътОПРЕДЕЛИ :ПРИСЪЕДИНЯВА ч. гр. д. № 4451/2022 г. на Върховен касационен съд, Гражданска колегия, Четвърто отделение към гр. д. № 4452/2022 г. на Върховен касационен съд, Гражданска колегия, Четвърто отделение.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