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№339/29.11.2019 по търг. д. №2521/2019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339</w:t>
        <w:tab/>
        <w:br/>
        <w:tab/>
        <w:t xml:space="preserve"> </w:t>
        <w:tab/>
        <w:br/>
        <w:tab/>
        <w:t xml:space="preserve"> София, 29. 11. 2019 г.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шести ноември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съдия Г. И т. д. № 2521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307, ал. 1 от ГПК. </w:t>
        <w:tab/>
        <w:br/>
        <w:tab/>
        <w:t xml:space="preserve"> </w:t>
        <w:tab/>
        <w:br/>
        <w:tab/>
        <w:t xml:space="preserve">Образувано е по молба, подадена на основание чл. 303, ал. 1, т. 1 от ГПК от Агенция за приватизация и следприватизационен контрол срещу решение, постановено от Окръжен съд – [населено място]. Молбата е подадена на 30. 8.2019 г. </w:t>
        <w:tab/>
        <w:br/>
        <w:tab/>
        <w:t xml:space="preserve"> </w:t>
        <w:tab/>
        <w:br/>
        <w:tab/>
        <w:t xml:space="preserve">Постъпила е молба по настоящето дело от Агенция за публични предприятия и контрол, представлявана от П. С. А. чрез юрисконсулт И. С. с приложено пълномощно. Сочи настъпило по силата на закона правоприемство на страната на молителя по силата на § 5, ал. 1 от ПЗР на Закон за публичните предприятия, като Агенция за приватизация и следприватизационен контрол, била пренаименувана на Агенция за публичните предприятия и контрол (АППК). Така по силата на § 5, ал. 2 от ПЗР на ЗППр, висящите дела към датата на влизане в сила на закона, по които страна е Агенция за приватизация и следприватизационен контрол, се продължавали от АППК до тяхното приключване. Моли да се допусне конституиране на АППК.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Действително се установява, че е приет Закон за публични предприятия, по силата, на който е създаден Агенция за публични предприятия и контрол. С преходните и заключителни разпоредби законодателят е предвидил, че се пренаименова Агенцията за приватизация и следприватизационен контрол (АПСК) на Агенция за публични предприятия и контрол (АППК). В § 5, ал. 2 от ПЗР на ЗППр е предвидено, че дейността, бюджетът, активите, пасивите, архивът и всички права и задължения на АПСК преминават към АППК. Висящите дела към датата на влизане в сила на закона по силата на ал. 3 на § 5 продължават от АППК до тяхното приключване. Предвид ал. 2 на § 5 от ПЗР на З. следва да се приеме, че по силата на закона е настъпило универсално правоприемство между АППК и АПСК. Поради това и на основание ал. 3 на § 5 от ПЗР на ЗППр, ще следва в настоящия процес като образуван преди влизане на закона в сила да бъде конституиран универсалният правоприемник. </w:t>
        <w:tab/>
        <w:br/>
        <w:tab/>
        <w:t xml:space="preserve"> </w:t>
        <w:tab/>
        <w:br/>
        <w:tab/>
        <w:t xml:space="preserve">Върховният касационен съд на Р България, състав на Второ търговско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КОНСТИТУИРА на основание § 5, ал. 2 от ПЗР на Закон за публичните предприятия обн. ДВ бр. 79 от 8. 10. 2019 г. Агенция за публичните предприятия и контрол, [населено място] [улица] като универсален правоприемник на Агенция за приватизация и следприватизационен контрол. </w:t>
        <w:tab/>
        <w:br/>
        <w:tab/>
        <w:t xml:space="preserve"> </w:t>
        <w:tab/>
        <w:br/>
        <w:tab/>
        <w:t xml:space="preserve">ЗАЛИЧАВА като страна в процеса Агенция за приватизация и следприватизационен контрол, </w:t>
        <w:tab/>
        <w:br/>
        <w:tab/>
        <w:t xml:space="preserve"> </w:t>
        <w:tab/>
        <w:br/>
        <w:tab/>
        <w:t xml:space="preserve">Определението не може да се обжалва.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