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№1266/23.11.2016 по адм. д. №7323/2016 на ВАС,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209 и сл. от Административнопроцесуалния кодекс (АПК). Образувано е по касационна жалба на Сдружение [ЮЛ] със седалище в [населено място], наричано за краткост по-долу „Сдружението” против решение № 4972/26. 04. 2016г. на Върховния административен съд по адм. д.№ 12917/2015 г., с което е отхвърлено оспорването на § 1 от Наредба за изменение и допълнение на Наредба № 11 от 2009г. за условията и реда за прилагане на мярка 214 „Агроекологични плащания“ от програмата за развитие на селските райони за периода 2007-2013г., издадена от Министъра на земеделието и храните, обн. ДВ, бр. 81 от 20. 10. 2015г., в сила от 01. 03. 2016г., както и на чл. 47, ал. 1, т. 2 и т. 3 от Наредба № 11 от 2009г. за условията и реда за прилагане на мярка 214 „Агроекологични плащания“ от програмата за развитие на селските райони за периода 2007-2013г., издадена от Министъра на земеделието и храните, обн. ДВ, бр. 29 от 17. 04. 2009г., изм. ДВ бр. 81 от 20. 10. 2015г., в сила от 20. 10. 2015г и сдружението е осъдено да заплати на Министерството на земеделието и храните направените по делото разноски в размер на 300 /триста/ лева.</w:t>
        <w:tab/>
        <w:br/>
        <w:tab/>
        <w:t xml:space="preserve">В касационната жалба се твърди неправилност на решението и се иска неговата отмяна и отмяна на атакуваните разпоредби. От обстоятелствената й част следва, че поддържаните касационни основания са всичките по чл. 209, т. 3 АПК. Иска се присъждане на направените по делото по делото разноски.</w:t>
        <w:tab/>
        <w:br/>
        <w:tab/>
        <w:t xml:space="preserve">Ответникът – Министерството на земеделието и храните оспорва касационната жалба по съображения в писмен отговор, които са поддържани в съдебно заседание, както и в представените по делото писмени бележки. Иска потвърждаване на обжалваноторешение.</w:t>
        <w:tab/>
        <w:br/>
        <w:tab/>
        <w:t xml:space="preserve">Върховната административна прокуратура чрез участващия по делото прокурор преценява касационната жалба като неоснователна, а обжалваното решение като правилно.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подадена от надлежна страна в рамките на законоустановения срок за касационно обжалване. По основателността й приема следното:</w:t>
        <w:tab/>
        <w:br/>
        <w:tab/>
        <w:t xml:space="preserve">Първоинстанционният съдебен състав е приел, че е сезиран с оспорване на §1 от НИД на Наредба № 11/2009г., обнародвана в ДВ бр. 81 от 20. 10. 2015г., в сила от 01. 03. 2016г. и на разпоредбите на чл. 47, ал. 1, т. 2 и т. 3 от Наредба № 11/2009г. (обн. ДВ, бр. 29 от 17. 04. 2009г., изм. ДВ бр. 81 от 20. 10. 2015г., в сила от 20. 10. 2015г.). За да определи предмета на оспораване, съдът е преценил, дали към датата на подаване на жалбата оспорените параграфи от НИД на Наредба № 11/2009г., обнародвана в ДВ бр. 81 от 20. 10. 2015г. са влезли в сила или не. Според съда до влизане в сила на разпоредбата, с която се изменя или допълва вече съществуваща норма, тази разпоредба има самостоятелност, след влизането й в сила, тя се инкорпорира в съдържанието на действащата разпоредба.</w:t>
        <w:tab/>
        <w:br/>
        <w:tab/>
        <w:t xml:space="preserve">Съдът е приел, че жалбоподателят има интерес от оспорването, тъй като предметът му на дейност е свързан със защита на правата и интересите на агроекологичните земеделски производители, и цели да защитава интересите на членовете си пред държавни и общински органи.</w:t>
        <w:tab/>
        <w:br/>
        <w:tab/>
        <w:t xml:space="preserve">Съдът е приел, че Наредбите, съдържащи оспорените разпоредби са издадени от компетентен орган при наличие на законова делегация за това, предвидена в §35 от ПЗР на ЗИДЗПЗП, както и в установената форма.</w:t>
        <w:tab/>
        <w:br/>
        <w:tab/>
        <w:t xml:space="preserve">Съдът е отхвърлил жалбата срещу оспорените разпоредби формирайки следните изводи: преценил е като неоснователно възражението на жалбоподателя, че измененията на разпоредбите не са мотивирани; приел е, че не са допуснати съществени нарушения на административно-производствените правила при приемане на подзаконовия нормативен акт; приел е, че оспорените разпоредби са в съответствие с целта на Закон за подпомагане на земеделските производител (ЗПЗМ) и на европейските регламенти за прилагането на които са издадни; преценил е като допустимо, както от съюзното, така и от националното право изменението в годишния размер на плащанията за агроекология и в условията за подпомагане; приел е, че измененията в годишния размер на агроекологичните плащания за опазване на почвите и водите, както и на условията за подпомагане по направление „Въвеждане на сеитбообращение за опазване на почвите и водите“, не противоречат на законовата рамка, дадена с Европейските регламенти, и на Програмата за развитие на селските райони за периода 2007-2013г, както и че те не противоречат на целта на закона, която за направлението «Въвеждане на сеитбообращение за опазване на почвите и водите» е запазване на почвените и водните ресурси, посочвайки, че с въведените изменения, в по-голяма степен се постига преследваната от закона цел и при всички случаи не се преследва, различна от законовата цел.</w:t>
        <w:tab/>
        <w:br/>
        <w:tab/>
        <w:t xml:space="preserve">Предвид съображението му, че измененията са съобразени с целта на закона, съдът е отхвърлил възраженията на жалбоподателя за нарушаване на принципите за съразмерност, последователност и предвидимост. Съдът е посочил, че оправданите правни очаквания на бенефициентите не са нарушени, тъй като те не можели да се разглеждат извън контекста на целта на подпомагането и да се свързват само с очакваните помощи за подпомагане и по-малко усилия за получаването им.</w:t>
        <w:tab/>
        <w:br/>
        <w:tab/>
        <w:t xml:space="preserve">Съдът е отхвърлил възражението, че е невъзможна агротехническата операция по поддържане на растителна покривка през зимата на цялата земеделска площ с мотива, че след като бенефициентите ползват помощи за сеитбообръщение за цялата площ, не е невъзможно да поддържат растителна покривка през зимата на цялата площ, както и с изложеното становище от ответника, че наличието на зимна покривка касае само площите, които ще се засяват с пролетници.</w:t>
        <w:tab/>
        <w:br/>
        <w:tab/>
        <w:t xml:space="preserve">Съдът е посочил също така, че правата на земеделските стопани по мярка 214 «Агроекологични плащания» не са нарушени и от гледна точка на нормите от НИД, които гарантиран принципа на доброволно участие, без липса на санкции при отказ от подпомагане при новите условия.</w:t>
        <w:tab/>
        <w:br/>
        <w:tab/>
        <w:t xml:space="preserve">Настоящият петчленен съдебен състав преценява обжалваното решение като неправилно по следните съображения : На първо място, касационният състав преценява, че първоинстанционният съд неправилно е инидивидуализирал предмета на спора.</w:t>
        <w:tab/>
        <w:br/>
        <w:tab/>
        <w:t xml:space="preserve">По въпроса, дали разпоредби от Наредба за изменение и допълнение на разпоредби от съществуваща вече наредба могат да бъдат предмет на съдебно оспорване, първоинстанционният съдебен състав е застъпил становище аналогично на изразеното от Конституционния съд на Р. Б в определение от 10 юли 2008г. и решение №6 от 11 ноември 2008 г. по к. д.№ 5/08г. ноември. Първоинстанционният съдебен състав не е съобразил обаче, че в конкретния случай разпоредбата на §1 от НИД на Наредба №11/2009г., обнародвана в ДВ, бр. 81 от 20. 10. 2015г., макар и да не е в сила към датата на подаване на жалбата-02. 11. 2015г., тя е в сила към датата на съдебното решение, с което този състав се е произнесъл. Ако първоинстанционният съдебен състав докрай е бил последователен в застъпеното от него становище, то е следвало да прецени, че към датата на произнасянето му, разпоредбата на §1 от НИД на Наредба №11/2009г., обнародвана в ДВ, бр. 81 от 20. 10. 2015г е станала част от съдържанието на чл. 13, ал. 6, т. 1 от Наредба №11/2009 година. С оглед това обстоятелство може да се поддържа, че с решението в частта, в която е отхвърлено оспорването на разпоредбата на §1 от НИД на Наредба №11 от 2009г., съдът се е произнесъл по несъществуваща към датата на произнасянето му разпоредба.</w:t>
        <w:tab/>
        <w:br/>
        <w:tab/>
        <w:t xml:space="preserve">Следва да се посочи обаче, че в практиката на Конституционния съд е застъпено и другото становище, а именно, че може да бъде обявен за противоконституционен и закон за изменение и допълнение на действащ закон (аргумент от решение №22 от 31 октомври 1995г. по к. д.№25/95, както и становищата на съдиите В. Г и В. С по част от мотивите на определението по к. д.№5/2008г.)</w:t>
        <w:tab/>
        <w:br/>
        <w:tab/>
        <w:t xml:space="preserve">Според настоящия петчленен съдебен състав на ВАС в случаи като настоящия, от значение е смисълът (съдържанието) на оспорването. Очевидно от жалбата, с която е сезиран първоинстанционния съдебен състав е, че жалбоподателят е недоволен от съдържанието на нормите на чл. 13, ал. 6, т. 1 и чл. 47, ал. 1, т. 2 и т. 3 от Наредба №11/2009г., така както те са изменени с НИД на Нардеба №11/2009г., обнародвана в ДВ, бр. 81 от 20. 10. 2015 година. Следователно предмет на оспорване са именно разпоредбите с посоченото съдържание, поради което предметът на оспорване следва да се индивидуализира по следния начин - чл. 13, ал. 6, т. 1 и чл. 47, ал. 1, т. 2 и т. 3 от Наредба №11/2009г., в редакцията им според НИД на Нардеба №11/2009г., обнародвана в ДВ, бр. 81 от 20. 10. 2015 година.</w:t>
        <w:tab/>
        <w:br/>
        <w:tab/>
        <w:t xml:space="preserve">Този начин на определяне на предмета на оспорване не води до недопустимост на обжалваното решение в частта му, в която е отхвърлено оспорването на разпоредбата на §1 от НИД на Наредба №11 от 2009г., тъй като съдът е преценявал и се е произнесъл именно по спорната редакция на чл. 13, ал. 6, т. 1 от Наредба №11/2009 година.</w:t>
        <w:tab/>
        <w:br/>
        <w:tab/>
        <w:t xml:space="preserve">По въпроса за правния интерес на Сдружението от оспорването:</w:t>
        <w:tab/>
        <w:br/>
        <w:tab/>
        <w:t xml:space="preserve">Първоинстанционният съдебен състав не е изследвал в достатъчна степен наличието на правен интерес от оспорването за Сдружението. Съдът се е позовал на ТР №2 от 12. 02. 2010г. на ВАС по т. д.№4/09 година, обосновавайки наличието на правен интерес за Сдружението от предмета му на дейност и целите, така както са посочени в съдебното решение за регистрацията му. Видно обаче от мотивите на тълкувателното решение е, че в тях се казва „ Те могат да оспорват издадения подзаконов нормативен акт в случаите, когато с него се засягат или могат да бъдат засегнати общи права, свободи или законни интереси или се пораждат задължения за членуващите в сдружението лица.” В конкретния случай, за да е налице правен интерес за Сдружението, което е за осъществяване на дейност в частна полза от оспорването на въпросните разпоредби, то следва да докаже, че в него членуват земеделски производители, поели многогодишни ангажименти по направление „ Въвеждане на сеитбообръщение за опазване на почвите и водите” по мярка 214”Агроекологични плащания”. Доказателства за тези обстоятелства по делото липсват, което води до недоказаност на наличието на правен интерес за Сдружението от оспоравенто и до необоснованост на извода, формиран от първоинстанционния съдебен състав за допустимост на оспорването. Съдът е следвало да даде указания на жалбоподателя в тази насока и като не го е сторил е допуснал нарушение което е съществено.</w:t>
        <w:tab/>
        <w:br/>
        <w:tab/>
        <w:t xml:space="preserve">По съществото на обжалването: Първоинстанционният съд е допуснал съществени нарушения на съдопроизводствените правила, изразяващи се в непопълването на делото с всички документи, които са част от административната преписка. В резултат на допуснатото нарушения, съдът е формирал изводи, които се преценават от настоящия съдебен състав на касационната инстанция като необосновани. От друга страна, съдът е формирал и неправилни изводи.</w:t>
        <w:tab/>
        <w:br/>
        <w:tab/>
        <w:t xml:space="preserve">Неправилен е изводът му, че докладът на заместник-министъра на земеделието може да се възприеме като мотиви към проекта за изменение и допълнение на Наредба №11/2009г. (процесната). Съдържанието на мотивите, съответно докладът към един проект за нормативен акт е посочено в чл. 28, ал. 2 от ЗНА (ЗАКОН ЗА НОРМАТИВНИТЕ АКТОВЕ) и включва – причините, които налагат приемането, целите, които се поставят, финансовите и други средства, необходими за прилагането на новата уредба, очакваните резултати от прилагането, включително финансови, ако има такива, както и анализ за съответствието с правото на Европейския съюз. Като причина за основните изменения и допълнения на Наредбата в доклада се сочи нотифицирани пред Европейската комисия (ЕК) промени, касаещи прилагането на направление «Въвеждане на сеитбобръщение за опазване на почвите и водите». Така посочената причина, поставя два въпроса, на които в доклада няма отговор – кои са основните изменения и допълнения в наредбата и кои са неосновните, и оспорените разпоредби от основните изменения и допълнения ли са, и ако не са, каква е причината за промяната им. От друга страна, нотифицирането на промените в направлението пред ЕК, както се твърди в доклада, не освобождава органа, да посочи в същия този доклад конкретните, същностните причини, налагащи промяна във взимането на почвените проби и промяна в размера на растителната покривка през зимата. Липсва посочване и на целите, които се преследват с измененията в условията за подпомагане, както и очакваните резултати от прилагането им. Неправилно е съдът да формира извод, че оспорените разпоредби не са в противоречие с целта на закона, без в доклада към НИД да се сочат конкретните цели, които искат да се постигнат с въпросните изменения. Задачата на съда е да прецени, доколко целите(в случай, че такива са посочени) са законосъобразни и доколко биха били постигнати с оспорените изменения.</w:t>
        <w:tab/>
        <w:br/>
        <w:tab/>
        <w:t xml:space="preserve">Същите съображения са валидни и за намаления и диференциран размер на годишното плащане. Намаляването на годишния размер на компенсаторното плащане по направление „Въвеждане на сеитбообръщение за опазване на почвите и водите”и диференциране на размера му е обосновано в доклада с избягване на двойно финансиране от европейските фондове в областта на директните плащания и развитието на селските райони. В доклада не се сочи разпоредбата от националното законодателство или от законодателството на Европейския съюз, която да забранява такова двойно финансиране. Първоинстанционният съдебен състав също не сочи в решението си правното основание за посочената забрана. От друга страна, чл. 27, параграф 5 от Регламент (ЕО) № 1974/2006г. на Комисията допуска в определени хипотези съчетаване на мерки и ангажименти, в това число и на агроекологично подпомагане със схеми за директно подпомагане. Също така в съображение 17 от Регламент (ЕО) № 74/2009 на Съвета от 19 януари 2009 г., с която се изменя регламент (ЕО) № 1698/05г. се предвижда възможност за държавите-членки за прекратяване на задълженията в областта на агреокологията в случаи на предоставена равностойно подкрепа в рамките на първия стълб, при условие обаче, че се зачитат икономическите интереси и законните очаквания на бенефициера и се запазва общата полза за околната среда. Поставената с това съображение цел е постигната с изменана разпоредба на чл. 39 от Регламент №1698/05г. в чиито параграф 3 се добавя нова алинея, предвиждаща:</w:t>
        <w:tab/>
        <w:br/>
        <w:tab/>
        <w:t xml:space="preserve">„Държавите-членки могат да прекратят тези задължения, без да това да води до задължение за съответния бенефициер да възстанови вече получено подпомагане, при условие че:</w:t>
        <w:tab/>
        <w:br/>
        <w:tab/>
        <w:t xml:space="preserve">а) подпомагането съгласно Регламент (ЕО) № 73/2009 е нововъведение, в рамките на което се прилагат правила, чието общо агроекологично въздействие е равностойно на това на агроекологичната мярка, която се преустановява;</w:t>
        <w:tab/>
        <w:br/>
        <w:tab/>
        <w:t xml:space="preserve">б) във финансово отношение това подпомагане не е по-малко благоприятно за съответния бенефициер;”</w:t>
        <w:tab/>
        <w:br/>
        <w:tab/>
        <w:t xml:space="preserve">Предвид цитираната уредба от законодателството на ЕС, ответният орган е следвало да обоснове, защо за постигането на посочената в доклада цел, не е избрал този нормативноустановен подход, а така също и посочи правното основание за избрания от него подход чрез диференцирано намаляване на размера на годишните плащания за въпросното направление.</w:t>
        <w:tab/>
        <w:br/>
        <w:tab/>
        <w:t xml:space="preserve">От друга страна, характерно за агроекологичното подпомагане е, че то има за цел да насърчи земеделските производители да прилагат земеделски практики, съвместими с нарастващите нужди от опазване на околната среда, като ги компенсира за понесената загуба или допълнителните разходи във връзка с това ( чл. 4, параграф 1, буква „б” вр. с чл. 39, параграф 4 от Регламент (ЕО) №1698/2005 на Съвета от 20 септември 2005г. относно подпомагане на развитие на селските райони от Европейския земеделски фонд за развитие на селските райони).</w:t>
        <w:tab/>
        <w:br/>
        <w:tab/>
        <w:t xml:space="preserve">В доклада липсва обосновка, доколко целта на агроекологичното подпомагане може да се постигне с въпросните изменения, които от една страна натоварват земеделските производители с допълнителни изисквания, които вероятно са свързани с допълнително разходи за самите земеделци, а от друга страна им намалява размера на годишните плащания, които имат за цел да компенсират допълнителните разходите, направени във връзка с поетия ангажимент, респективно пропуснатите приходи. От това ново положение следва логичният въпрос – възможно ли е да се постигне целта на агроекологичното подпомагане, чиито отговор трябва да следва от съдържанието на доклада, но който в конкретния случай не се намира в него.</w:t>
        <w:tab/>
        <w:br/>
        <w:tab/>
        <w:t xml:space="preserve">В доклада липсва и анализ за съответствието на оспорените изменения с правото на Европейския съюз. Поддържаното в доклада твърдение, че предложеният проект не съдържа разпоредби, транспониращи актове на ЕС, не освобождава органа от анализа за съответствието на измененията с приложимите разпоредби от правото на ЕС. От този анализ органът не е освободен и въпреки извършената нотификация пред ЕК на изменената ПРСР, още повече, че в конкретния случай по делото липсват доказателства за такава.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