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№2368/12.05.2025 по ч.гр.д. №74/2025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2368</w:t>
        <w:tab/>
        <w:br/>
        <w:tab/>
        <w:t xml:space="preserve"/>
        <w:tab/>
        <w:br/>
        <w:tab/>
        <w:t xml:space="preserve">гр. София, 12.05.2025 година</w:t>
        <w:tab/>
        <w:br/>
        <w:tab/>
        <w:t xml:space="preserve"/>
        <w:tab/>
        <w:br/>
        <w:tab/>
        <w:t xml:space="preserve">В ИМЕТО НА НАРОДA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девети април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частно гражданско дело № 74 по описа за 2025 година, за да се произнесе взе предвид следното: </w:t>
        <w:tab/>
        <w:br/>
        <w:tab/>
        <w:t xml:space="preserve"/>
        <w:tab/>
        <w:br/>
        <w:tab/>
        <w:t xml:space="preserve">Подадена е частна жалба вх. № 5558/21.03.2025 г. от С. Д. П. срещу определение № 987/04.03.2025 г. по ч. гр. д. № 74/2025 г. по описа на ВКС, ІІІ г. о. </w:t>
        <w:tab/>
        <w:br/>
        <w:tab/>
        <w:t xml:space="preserve"/>
        <w:tab/>
        <w:br/>
        <w:tab/>
        <w:t xml:space="preserve">С разпореждане от 26.03.2025 г. Върховният касационен съд е оставил без движение частната жалба, като е указал на страната в едноседмичен срок от получаване на съобщението да внесе дължимата за производството държавна такса в размер на 15 лева и в същия срок да представи платежния документ по делото. Разпореждането е получено лично от жалбоподателя на 08.04.2025 г., но в указания срок и към днешна дата нередовността на частната жалба не е отстранена, като последиците от неизпълнението на указанията на съда са съобщени на жалбоподателя. Предвид това, частната жалба като нередовна следва се върне на подателя й.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ВРЪЩА частна жалба вх. № 5558/21.03.2025 г. на С. Д. П. срещу определение № 987/04.03.2025 г. по ч. гр. д. № 74/2025 г. по описа на ВКС, ІІІ г. о., на подателя й. </w:t>
        <w:tab/>
        <w:br/>
        <w:tab/>
        <w:t xml:space="preserve"/>
        <w:tab/>
        <w:br/>
        <w:tab/>
        <w:t xml:space="preserve"> Определението може да се обжалва в едноседмичен срок от съобщаването му на жалбоподателя пред друг тричленен състав на Върховния касационен съд.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