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№339/18.06.2013 по нак. д. №1015/2013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десети юни две хиляди и тринадесета година в състав: </w:t>
        <w:tab/>
        <w:br/>
        <w:tab/>
        <w:t xml:space="preserve"/>
        <w:tab/>
        <w:br/>
        <w:tab/>
        <w:t xml:space="preserve">ПРЕДСЕДАТЕЛ: ИВАН НЕДЕВ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при секретар: Даниела Околийска</w:t>
        <w:tab/>
        <w:br/>
        <w:tab/>
        <w:t xml:space="preserve"> </w:t>
        <w:tab/>
        <w:br/>
        <w:tab/>
        <w:t xml:space="preserve">и в присъствието на прокурора Кирил Иванов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1015/2013 година</w:t>
        <w:tab/>
        <w:br/>
        <w:tab/>
        <w:t xml:space="preserve"> </w:t>
        <w:tab/>
        <w:br/>
        <w:tab/>
        <w:t xml:space="preserve">Производството по делото е по реда на чл. 424, ал. 1 от НПК, образувано по искане на осъдения Г. И. К., за възобновяване на производството по ВНОХД № 8/2013 г. по описа на Окръжен съд – Благоевград и отмяна на постановеното по него решение от 18. 04. 2013 г., с което е потвърдена първоинстанционната присъда на Районен съд – Разлог. </w:t>
        <w:tab/>
        <w:br/>
        <w:tab/>
        <w:t xml:space="preserve"> </w:t>
        <w:tab/>
        <w:br/>
        <w:tab/>
        <w:t xml:space="preserve">Искането за възобновяване се позовава на всички касационни основания. Претендира се отмяна на съдебните актове и оправдаване на осъдения по повдигнатото му обвинение.</w:t>
        <w:tab/>
        <w:br/>
        <w:tab/>
        <w:t xml:space="preserve"> </w:t>
        <w:tab/>
        <w:br/>
        <w:tab/>
        <w:t xml:space="preserve"> В съдебното заседание, проведено пред касационната инстанция, осъденият К. не се явява, редовно призован. 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становище за неоснователност на искането за възобновяване.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І. С първоинстанционната присъда от 13. 11. 2012 г., постановена по НОХД № 423/2012 г. от Районен съд – Разлог, подсъдимият К. е бил признат за виновен и осъден за извършено от него престъпление по чл. 343б, ал. 1 от НК, за което на основание чл. 55, ал. 1, т. 2, б. „б” от НК му е наложено наказанието пробация със следните пробационни мерки: задължителна регистрация по настоящ адрес за срок от осем месеца и определена периодичност два пъти седмично; задължителни периодични срещи с пробационен служител за срок от осем месеца.</w:t>
        <w:tab/>
        <w:br/>
        <w:tab/>
        <w:t xml:space="preserve"> </w:t>
        <w:tab/>
        <w:br/>
        <w:tab/>
        <w:t xml:space="preserve">С въззивното решение, постановено по жалба на осъденото лице, присъдата е потвърдена.</w:t>
        <w:tab/>
        <w:br/>
        <w:tab/>
        <w:t xml:space="preserve"> </w:t>
        <w:tab/>
        <w:br/>
        <w:tab/>
        <w:t xml:space="preserve">Поради липса на процесуална възможност за обжалване, присъдата е влязла в сила на датата на постановяване на въззивното решение- 18. 04. 2013 г., с оглед на което искането за възобновяване се явява подадено в срок, но разгледано по същество е неоснователно.</w:t>
        <w:tab/>
        <w:br/>
        <w:tab/>
        <w:t xml:space="preserve"> </w:t>
        <w:tab/>
        <w:br/>
        <w:tab/>
        <w:t xml:space="preserve">В искането за възобновяване цифрово са отразени всички касационни основания по чл. 348, ал. 1 от НПК, но доводите, изложени в подкрепа на същите, могат да се отнесат само към второто от тях – чл. 348, ал. 1, т. 2 от НПК.</w:t>
        <w:tab/>
        <w:br/>
        <w:tab/>
        <w:t xml:space="preserve"> </w:t>
        <w:tab/>
        <w:br/>
        <w:tab/>
        <w:t xml:space="preserve">Основният довод в искането за възобновяване е насочен срещу решението на предходните инстанции да изведат съставомерните признаци на престъпния състав по чл. 343б, ал. 1 от НК, използвайки установената концентрация на алкохол чрез химическия анализ, извършен съгласно Наредба № 30 от 27. 06. 2001 г. за реда за установяване употребата на алкохол или друго упойващо вещество от водачите на МПС (Наредба № 30). Развити са съображения, че химическата експертиза (изследване) по чл. 17 от Наредба № 30 не е експертиза по смисъла на чл. 144 и сл. от НПК. Поддържа се още, че експертът, извършил самото изследване, е некомпетентен, защото не притежава необходимата професионална правоспособност - нарушение на чл. 148, ал. 1, т. 5 от НПК. Все пак в искането се допуска наличие на съответна правоспособност за експерта, а годността на изследването се атакува вече с позоваване на разпоредбата на чл. 234, ал. 7 от НПК, тъй като било извършено извън сроковете по чл. 234, ал. 1-3 от НПК.</w:t>
        <w:tab/>
        <w:br/>
        <w:tab/>
        <w:t xml:space="preserve"> </w:t>
        <w:tab/>
        <w:br/>
        <w:tab/>
        <w:t xml:space="preserve">Така направените възражения налагат да се припомни, че протоколът за химическа експертиза по чл. 17 от Наредба № 30, съдържащ данни за извършеното химическо изследване на пробите на кръв и резултатите от него, е годно писмено доказателствено средство за установяване употребата на алкохол по надлежния ред. Експертизата по чл. 144, ал. 1 от НПК се назначава за изясняване на обстоятелства, за които са необходими специални познания и поначало служи за проверка на събрани доказателства. Данните по делото очертават, че назначаване на повторна химическа експертиза не е било необходимо. Освен това, осъденият не се е възползвал от възможността, предвидена в чл. 20, ал. 3 от Наредба № 30, по негово искане след предявяване на обвинението за престъпление по чл. 343б, ал. 1 от НК да поиска извършване на повторен химически анализ. Видно от протокола за привличане на обвиняем от 29. 05. 2012 г., както и от протокола за разпит от същата дата, осъденият и неговата защита не са отправяли такова искане, което е било възможно, тъй като срокът по чл. 19 от Наредба № 30 към този момент не е бил изтекъл. Всъщност, и сега в искането за възобновяване не се излагат доводи, свързани с валидността на резултата от самото химическо изследване, извън заявената „липса на правоспособност на експерта”. За неоснователността на последно посоченото възражение е достатъчно да се препрати към разпоредбата на чл. 17 от Наредба № 30 и обстоятелствената част на химическата експертиза. В съдържанието на същата присъстват всички необходими данни относно специалността на експерта, лабораторията, в която е извършено изследването по чл. 15 от наредбата, резултатите от изследването, използваният метод, начина на съхранение на взетата кръвна проба и прочие.</w:t>
        <w:tab/>
        <w:br/>
        <w:tab/>
        <w:t xml:space="preserve"> </w:t>
        <w:tab/>
        <w:br/>
        <w:tab/>
        <w:t xml:space="preserve">Аргументацията за допуснато нарушение на чл. 234, ал. 7 от НПК също не намира подкрепа в данните по делото. Досъдебното производство е било образувано на 14. 05. 2012 г. с постановление на прокурор. На 04. 06. 2012 г. е съставено постановление с писмено мнение от разследващия орган на основание чл. 235, ал. 1 от НПК, а обвинителният акт е внесен в районния съд на 11. 07. 2012 г. Всички действия по разследването – събиране на писмени и гласни доказателствени средства, са извършени в сроковете, предвидени по чл. 234, ал. 1 от НПК.</w:t>
        <w:tab/>
        <w:br/>
        <w:tab/>
        <w:t xml:space="preserve"> </w:t>
        <w:tab/>
        <w:br/>
        <w:tab/>
        <w:t xml:space="preserve">Обобщено, за съставомерността на деянието по чл. 343б, ал. 1 от НК е необходимо концентрацията на алкохол в кръвта на водача на МПС да бъде установена по надлежния ред. В конкретния случай, употребата на алкохол, съответно концентрацията на алкохол в кръвта на осъденото лице, е била установена по надлежния ред, регламентиран в Наредба № 30 (виж, чл. 1 от същата), при спазване на всички изисквания за това.</w:t>
        <w:tab/>
        <w:br/>
        <w:tab/>
        <w:t xml:space="preserve"> </w:t>
        <w:tab/>
        <w:br/>
        <w:tab/>
        <w:t xml:space="preserve">Предвид изложеното, настоящият съдебен състав намери, че сочените основания по чл. 348, ал. 1, т. 1 и т. 2 от НПК не са налице, поради което искането на осъдения за отмяна на въззивното решение и оправдаването му по повдигнатото обвинение не може да бъде удовлетворено. </w:t>
        <w:tab/>
        <w:br/>
        <w:tab/>
        <w:t xml:space="preserve"> </w:t>
        <w:tab/>
        <w:br/>
        <w:tab/>
        <w:t xml:space="preserve">Не е налице и явна несправедливост на наложеното наказание. </w:t>
        <w:tab/>
        <w:br/>
        <w:tab/>
        <w:t xml:space="preserve"> </w:t>
        <w:tab/>
        <w:br/>
        <w:tab/>
        <w:t xml:space="preserve">Прилагайки разпоредбата на чл. 55 от НК, предходните инстанции са отчели всички обстоятелства, имащи отношение към степента на отговорността на осъденото лице. Срокът на наказанието пробация е към законоустановения минимум и не се налага намеса на касационната инстанция при условията на чл. 348, ал. 5, т. 1 от НК.</w:t>
        <w:tab/>
        <w:br/>
        <w:tab/>
        <w:t xml:space="preserve"> </w:t>
        <w:tab/>
        <w:br/>
        <w:tab/>
        <w:t xml:space="preserve">С оглед на горните съображения и на основание чл. 424 от НПК, Върховният касационен съд, първо наказателно отделение, след като установи, че не са налице предпоставките на чл. 422, ал. 1, т. 5 във вр. с чл. 348, ал. 1 от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искането на осъдения Г. И. К. за възобновяване на ВНОХД № 8/2013 г. по описа на Окръжен съд – Благоевград.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