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№178/01.04.2020 по търг. д. №789/2019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178</w:t>
        <w:tab/>
        <w:br/>
        <w:tab/>
        <w:t xml:space="preserve"> </w:t>
        <w:tab/>
        <w:br/>
        <w:tab/>
        <w:t xml:space="preserve">Гр. София, 01. 04. 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съдебно заседание на 27. 11. 2019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П.Х т. д. № 789/2019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БЪЛГАРСКА БАНКА ЗА РАЗВИТИЕ АД, ЕИК[ЕИК], чрез процесуален пълномощник, срещу решение № 3084 от 28. 12. 2018 г. по т. д. № 2888/2018 г. по описа на Софийски апелативен съд, ТО, 3 състав, с което се потвърждава решение № 354/19. 02. 2018 г. по т. д.№ 863/2017 г. на Софийския градски съд, VI ТО, 2 състав. С първоинстанционното решение касаторът е осъден да заплати в полза на СТЕВО - Б. Т. И ВНОС - ИЗНОС ДООЕЛ, чуждестранно дружество, регистрирано в Р. М под № 5674514 в ТРРДЮЛ, на основание чл. 442 ТЗ вр. чл. 79 ал. 1 ЗЗД сумата 200 000 евро, представляваща поето за плащане парично задължение въз основа на издадена от страна на БЪЛГАРСКА БАНКА ЗА РАЗВИТИЕ АД банкова гаранция с № 590/760/1104 от 26. 02. 2016 г., по която в рамките на действието й се е сбъднало условието за плащане, ведно със законната лихва върху главницата, считано от 27. 02. 3017 г. до окончателното й погасяване.</w:t>
        <w:tab/>
        <w:br/>
        <w:tab/>
        <w:t xml:space="preserve"> </w:t>
        <w:tab/>
        <w:br/>
        <w:tab/>
        <w:t xml:space="preserve">В касационната жалба се излагат оплаквания, че въззивното решение е неправилно – необосновано и незаконосъобразно. По подробно изложени съображения се моли за неговата отмяна и постановяване на решение по същество, с което искът да бъде отхвърлен.</w:t>
        <w:tab/>
        <w:br/>
        <w:tab/>
        <w:t xml:space="preserve"> </w:t>
        <w:tab/>
        <w:br/>
        <w:tab/>
        <w:t xml:space="preserve">Искането за допускане на касационно обжалване се основава на нормата на чл. 280 ал. 1 т. 3 ГПК, като са поставени следните въпроси, разрешени от въззивния съд и значими за изхода на спора: 1/ Задължителните реквизити, идентифициращи бенефициера, наредителя, обезпеченото валутно правоотношение и пр., които трябва да бъдат посочени от бенефициера в подаденото от него искане за плащане, следва ли да бъдат напълно идентични с посочените в банковата гаранция или може да не са еднакви с тях, но да не им противоречат; 2/ При извършването от страна на банката – гарант на преценката относно редовността на искането за плащане, подадено от бенефициера до нея, длъжна ли е банката да съобразява представени й документи, стоящи извън искането, вкл. и представени документи с предходни, нередовни искания за плащане, в случай, че представянето на тези документи не се изисква от условията на гаранцията или банката е ограничена от разпоредбата на чл. 19, б. А от Еднообразните правила за гаранциите на поискване и следва ли да извърши проверката за редовност само въз основа на данните, съдържащи се в самото искане; 3/ Задължен ли е гарантът да посочва изчерпателно всички основания за отказ за плащане на бенефициера още преди получаване на писменото искане за плащане, в случай, че гаранцията установява писмена форма за действителност и редовност на искането.</w:t>
        <w:tab/>
        <w:br/>
        <w:tab/>
        <w:t xml:space="preserve"> </w:t>
        <w:tab/>
        <w:br/>
        <w:tab/>
        <w:t xml:space="preserve">Против касационната жалба не е постъпил писмен отговор от насрещната страна.</w:t>
        <w:tab/>
        <w:br/>
        <w:tab/>
        <w:t xml:space="preserve"> </w:t>
        <w:tab/>
        <w:br/>
        <w:tab/>
        <w:t xml:space="preserve">Съставът на Върховния касационен съд, като съобрази доводите по чл. 280 ГПК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допустима – изхожда от легитимирано лице, подадена е в законоустановения срок по чл. 283 ГПК и е насочена против подлежащ на касационно обжалване въззивен съдебен акт.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предявеният осъдителен иск е уважен, съставът на въззивния съд е приел за безспорно установено между страните, че на 26. 02. 2016 г. по искане на наредителя ПОНССТРОЙИНЖЕНЕРИНГ АД [населено място], ББР АД е издала банкова гаранция, с която неотменимо се е задължила да заплати на бенефициера, посочен като СТЕВО – Б. Т. Е [населено място], сумата 200 000 евро или суми, които не надвишават същата, дължима от дружество на наредителя ПОНССТРОЙИНЖЕНЕРИНГ – подружница М. С по договор от 08. 07. 2015 г. и анекс от 16. 09. 2015 г. за транспортиране на строителни материали по подновяване и реконструкция на ЖП участък Битоля – Кременица. Задължението за плащане по гаранцията възниква след получаване на първо искане на бенефициера в писмена форма и писмена декларация, че наредителят нарушава задълженията си по договора и уточнява в какво се изразява нарушението, без да подлежат на доказване причините за подаване на заявката за плащане. Срокът на действие на гаранцията е до 31. 08. 2016 г., съответно заявлението е следвало да се подаде преди този момент, чрез посредничеството на банка, която да потвърди, че подписите върху него са автентични и обвързват заявителя. Указано е, че по отношение на гаранцията са приложими правилата за даване на гаранция от 2010 г., публикация № 758.</w:t>
        <w:tab/>
        <w:br/>
        <w:tab/>
        <w:t xml:space="preserve"> </w:t>
        <w:tab/>
        <w:br/>
        <w:tab/>
        <w:t xml:space="preserve">Съдът е констатирал, че считано от 14. 07. 2016 г. до 01. 09. 2016 г. са подадени четири заявления за плащане от страна на бенефициера, които са отказани от ББР АД /поради това, че искането не е написано на езика, съобразно чл. 14 от УРГД, одит 2010, публикация № 758 /1/, поради несъответствие между посочените в искането данни и тези по гаранционното писмо относно наименованието на бенефициера, съконтрахента, наредителя, също така предмета на договора и датата на сключването му /2/, поради несъответствие на същите реквизити от съдържанието на искането за плащане /3/ и поради получаване на искането на хартиен носител след изтичане на валидността на гаранцията, както и поради непълнота на същото /4//.</w:t>
        <w:tab/>
        <w:br/>
        <w:tab/>
        <w:t xml:space="preserve"> </w:t>
        <w:tab/>
        <w:br/>
        <w:tab/>
        <w:t xml:space="preserve">От правна страна съдът е преценил, че в случая намират приложение Еднообразните правила за гаранциите на поискване на Международната търговска камара, публикация 758 от 2010 г. Съгласно чл. 5 от същите, гаранцията е независима от договорните отношения и гарантът не е обвързан от тях. Посочването им с цел идентифицирането на гаранцията не променя нейния независим от валутното отношение характер. Конкретната гаранция за плащане представлява едностранна, формална и абстрактна сделка, доколкото в нея не е предвидена възможност гарантът на противопостави на бенефициера възражения, черпени от обезпеченото с нея валутно отношение.</w:t>
        <w:tab/>
        <w:br/>
        <w:tab/>
        <w:t xml:space="preserve"> </w:t>
        <w:tab/>
        <w:br/>
        <w:tab/>
        <w:t xml:space="preserve">Отправянето на искане /чл. 18 б.А от ЕПГП – публикация 758/, което не отговаря на установените изисквания, не накърнява правото на бенефициера да направи ново такова. Съгласно принципа на разделност, всяко искане следва да се преценява поотделно. Банката – гарант не е длъжна да дава указания на бенефициера за отстраняване нередовности в искането за плащане /чл. 24 б.А от ЕПГП – публикация 758/, но може да поиска сведения от наредителя за отстраняване на несъответствията. Преценката за законосъобразност на конкретния отказ се осъществява единствено в рамките на посочените в него основания /чл. 24 б.Г т. 2 и б.Е от ЕПГП – публикация 758/, следователно е налице изискване за изчерпателност на всеки отделен отказ, като непосочените основания се преклудират.</w:t>
        <w:tab/>
        <w:br/>
        <w:tab/>
        <w:t xml:space="preserve"> </w:t>
        <w:tab/>
        <w:br/>
        <w:tab/>
        <w:t xml:space="preserve">По отношение на първия отказ за неспазване езика на гаранцията /английския език/ съдът е приел, че съгласно нормата на чл. 14 б. Ж от ЕПГП – публикация 758 отказът е законосъобразен. Законосъобразен е и последният отказ, тъй като искането е постъпило в банката – гарант на 01. 09. 2016 г., т. е след срока на гаранцията. Или съществото на спора е съсредоточено върху постъпилите на 22. 08. 2016 г. и на 29. 08. 2016 г. искания за плащане.</w:t>
        <w:tab/>
        <w:br/>
        <w:tab/>
        <w:t xml:space="preserve"> </w:t>
        <w:tab/>
        <w:br/>
        <w:tab/>
        <w:t xml:space="preserve">Съдът е разгледал всяко от несъответствията, дали основание на банката – гарант да откаже плащане, като ги е счел за неоснователни. </w:t>
        <w:tab/>
        <w:br/>
        <w:tab/>
        <w:t xml:space="preserve"> </w:t>
        <w:tab/>
        <w:br/>
        <w:tab/>
        <w:t xml:space="preserve">Посочил е, че съгласно чл. 19 б. А от ЕПГП – публикация 758, гарантът трябва да определи, дали искането отговаря на изискванията за плащане, въз основа на данните, посочени в него, като данните, съдържащи се в документ, чието представяне е изискуемо, се разглеждат в контекста на същия документ, на гаранцията и ЕПГП – публикация 758. Съгласно чл. 19 б. Б от Правилата, данните не е задължително да са идентични, но не трябва да противоречат на тези в документа, друг изискуем документ или самата гаранция. С оглед това правило съдът е приел, че проверката за съответствие следва да се осъществява с грижата на добър търговец и при спазване на принципа на добросъвестност /недопускане на злоупотреба с права/.</w:t>
        <w:tab/>
        <w:br/>
        <w:tab/>
        <w:t xml:space="preserve"> </w:t>
        <w:tab/>
        <w:br/>
        <w:tab/>
        <w:t xml:space="preserve">Съдът е извършил съпоставка на данните в посочените по-горе две искания, като е приел следното: В представената разпечатка от ТРРДЮЛ на Р. М са вписани две наименования на дружеството бенефициер – пълно наименование /СТЕВО – Б. Т. И ВНОС – ИЗНОС ЕООД /съотв. ДООЕЛ/ и кратко наименование – СТЕВО – Б. Т. Е /ДООЕЛ/, т. е. възможността за ползване както на пълното, така и краткото наименование е допустима от законодателството на държавата по седалището му, като обозначаващи едно и също дружество. Следователно липсва несъответствие между гаранцията и искането, която да не може да бъде изяснена от представените документи. Освен това в двете коментирани искания бенефициерът е означен като дружество с ограничена отговорност, чрез използване на английския еквивалент /LTD/, което не затруднява персоналната му идентификация. Същото се отнася и до съконтрахента по договора, от който произтича обезпеченото с гаранцията валутно отношение /думата подружница – неправосубектен клон по см. на чл. 26 ал. 4 от ЗТД на Р. Македония, е заменена от английския еквивалент – branch/. Това важи и за наредителя на гаранцията, акционерно дружество, означено със съответния английски термин – Inc. Заключено е, че надлежно извършеният превод на английски език не е от естество да създаде объркване при възприемането на текста относно посочените в него лица. С правилата относно изписване на датата в английския език е обяснена и разликата относно датата на сключване на договора – 08. 07. 2015 г., идентична с посочената в исканията за плащане – 07/08/2015. Няма нередовност на искането за плащане и с оглед описанието на договора, от който произтича обезпеченото вземане. Въпреки редакционните различия, съществените белези на неговия предмет съвпадат с посочените в гаранцията.</w:t>
        <w:tab/>
        <w:br/>
        <w:tab/>
        <w:t xml:space="preserve"> </w:t>
        <w:tab/>
        <w:br/>
        <w:tab/>
        <w:t xml:space="preserve">Настоящият състав на Върховния касационен съд, Търговска колегия, второ отделение намира, че обжалваното решение не следва да бъда допускано до касационен контрол.</w:t>
        <w:tab/>
        <w:br/>
        <w:tab/>
        <w:t xml:space="preserve"> </w:t>
        <w:tab/>
        <w:br/>
        <w:tab/>
        <w:t xml:space="preserve">Формулираните от касатора въпроси не съответстват на основния селективен критерий на чл. 280 ал. 1 ГПК, а именно да са обусловили изхода от спора и едновременно с това да имат правен характер, както и да се отнасят до тълкуването на неясна, противоречиво прилагана правна норма, предвид поддържаното допълнително основание на чл. 280 ал. 1 т. 3 ГПК. Така поставени, въпросите касаят изцяло обосноваността и правилността на изводите на въззивната инстанция, с оглед данните по конкретния материалноправен спор, която преценка е извън предмета на производството по чл. 288 ГПК, в този смисъл са изричните указания на ТР № 1/19. 02. 2010 г. по т. д.№ 1/2009 г. на ОСГТК на ВКС, т. 1. Освен това последният въпрос не е обусловил правната воля на съда и е формулиран извън контекста на решението, доколкото няма спор, че след като банката - гарант е постановила отказ за плащане, същият следва да бъде изчерпателен. От друга страна, допълнителният селективен критерий, поддържан от касатора, също не е надлежно обоснован. Липсата на практика на ВКС не представлява самостоятелно основание за преценка, дали въпросите имат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3084 от 28. 12. 2018 г. по т. д. № 2888/2018 г. по описа на Софийски апелативен съд, ТО, 3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