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№5043/07.11.2022 по гр. д. №925/2022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50433</w:t>
        <w:tab/>
        <w:br/>
        <w:tab/>
        <w:t xml:space="preserve"/>
        <w:tab/>
        <w:br/>
        <w:tab/>
        <w:t xml:space="preserve"> гр. София, 07. 11. 2022 г.</w:t>
        <w:tab/>
        <w:br/>
        <w:tab/>
        <w:t xml:space="preserve"/>
        <w:tab/>
        <w:br/>
        <w:tab/>
        <w:t xml:space="preserve">Върховният касационен съд на Р. Б, второ гражданско отделение, в закрито съдебно заседание на пети октомври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 С гр. д. № 925/2022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К. А. Д. от [населено място] срещу въззивно решение № 545 от 12. 11. 2021 г., постановено по в. гр. д. № 1773/2021 г. на Пловдивския окръжен съд, в частта, с която е отхвърлен предявеният от касатора иск по чл. 109 ЗС,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посоченото решение въззивният съд е потвърдил решение № 260132 от 23. 03. 2021 г. по гр. д. № 1465/2019 г. на Асеновградския районен съд в частта, с която е отхвърлен предявеният от К. А. Д. против Е. Е. Е. иск с правна квалификация чл. 109 ЗС за осъждане на ответника да премахне незаконно изградените в собствения му недвижим имот - ателие, преустроено в жилище, с площ от 57, 40 кв. м, заснето с идентификатор № ***** по КККР на [населено място], с адрес [населено място], [улица], ет. 5, електрическата и ВиК инсталация в тоалетната, обособена като баня и тоалетна, и електрическата и ВиК инсталация в стаята, северно от тоалетната и граничеща с нея, обособена като кухня.</w:t>
        <w:tab/>
        <w:br/>
        <w:tab/>
        <w:t xml:space="preserve"/>
        <w:tab/>
        <w:br/>
        <w:tab/>
        <w:t xml:space="preserve">По делото е установено, че К. А. Д. и Е. Е. Е. са собственици съответно на самостоятелни обекти с идентификатори ***** и ***** по КККР на [населено място], разположени един над друг /ет. 4 и ет. 5/ в сградата, находяща се в [населено място], [улица]. Помещенията от процесното ателие, собственост на Е. Е., в което са извършени промени по ВиК и електроинсталацията, са санитарно помещение (WC) и съседната в западна посока стая, преустроена в кухня. Санитарното помещение в жилището на ответника е разположено над това на ищеца, ползвано за складово помещение (килер), а преустроеното кухненско помещение е разположено над стая, отразена по проекта като спалня в югоизточната част на жилището на ищеца. Тръбите, ползвани в ателието за отводняване на водочерпните прибори /кухненска мивка, перална машина и душ в баня/, не са били предвидени да бъдат изпълнявани съгласно проектните решения в одобрения проект по част ВиК от 22. 05. 1997 г. Изпълнението на ВиК инсталацията, и в частност на тръбите, ползвани в ателието за отводняване на водочерпните прибори, са изпълнени в съответствие с одобрения проект от община Асеновград от 18. 05. 2016 г. Действително санитарното помещение в ателието е разположено над помещение в жилището на жалбоподателя, което се ползва за килер, което обаче по проект е санитарно помещение и предназначението му не е променено.</w:t>
        <w:tab/>
        <w:br/>
        <w:tab/>
        <w:t xml:space="preserve"/>
        <w:tab/>
        <w:br/>
        <w:tab/>
        <w:t xml:space="preserve">Въззивният съд е приел, че по делото не е установен нито източник на теч или влага от тоалетната - баня в имота на ответника към разположеното под нея помещение в жилището на ищеца, нито приборите в кухнята да предизвикват шум в разположената под нея спалня над допустимите предели. Не е установено и ел. инсталациите в ателието да са проектирани и изпълнени така, че да натоварват прекомерно и да поставят в риск общата ел. инсталация на сградата. Не е налице и нарушение на правна норма, установена пряко с цел да се гарантира несмущаваното упражняване на правото на собственост на съседен имот, тъй като по отношение на обектите, разположени един над друг в жилищна сграда, е налице единствено забраната по чл. 110, ал. 3 от Наредба № 7 от 22. 12. 2003 г. за правила и нормативи за устройство на отделните видове територии и устройствени зони за разполагане на санитарни помещения, над жилищни помещения, над кухни и над килери за хранителни продукти, а в случая санитарното помещение в ателието е разположено над помещение, чието предназначение по проект е за санитарно помещение и предназначението му не е променено. С оглед на това, въззивният съд е приел, че в случая липсват създадени в резултат от изграждане на инсталациите в ателието, чието премахване се иска, пречки за упражняване на правото на собственост върху разположеното под него жилище, поради което предявеният иск по чл. 109 от ЗС е неоснователен.</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ГПК по следните въпроси: 1. Задължен ли е въззивният съд да мотивира въззивното решение, като обсъди всички доказателства и защитни позиции, включително всички възражения на страните; 2. Прокарването от ответника на незаконни ВиК и ел. инсталации в собствен самостоятелен обект в нарушение на строителни или санитарно-хигиенни норми – чл. 185, ал. 2 и чл. 186, ал. 1 ЗУТ, чл. 1, ал. 5 и ал. 6, чл. 45, т. 2, чл. 121, ал. 1, чл. 134, ал. 1, чл. 221, ал. 1, чл. 223, ал. 3, чл. 233, ал. 2 от Наредба № 4 от 17. 06. 2005 г. за проектиране, изграждане и експлоатация на сградни водопроводни и канализационни инсталации, установени с оглед възможността за пълноценно използване на съседните имоти или за запазване живота и здравето на хората, представлява ли изключението по т. 3 от ТР № 4 от 06. 11. 2017 г. по тълк. д. № 4/2015 г. на ОСГК на ВКС, при което ищецът е освободен от задължението да доказва с какво конкретно извършените от ответника действия смущават или създават пречки за нормалното ползване на собствения му имот, и 3. Прокарването от ответника на незаконни ВиК и ел. инсталации в собствен самостоятелен обект и присъединяването им към общите на етажната собственост сградни ВиК и ел. инсталации в нарушение на чл. 185, ал. 2 и чл. 186, ал. 1 ЗУТ, с оглед естеството си представлява ли изключението по т. 3 от ТР № 4 от 06. 11. 2017 г. по тълк. д. № 4/2015 г. на ОСГК на ВКС, при което ищецът (попадащ в кръга на етажните собственици) е освободен от задължението да доказва с какво конкретно извършените от ответника действия смущават или създават пречки за нормалното ползване на собствения му имот. </w:t>
        <w:tab/>
        <w:br/>
        <w:tab/>
        <w:t xml:space="preserve"/>
        <w:tab/>
        <w:br/>
        <w:tab/>
        <w:t xml:space="preserve">Ответникът по жалбата Е. Е. Е. е подал писмен отговор, в който е изразил становище, че касационно обжалване на въззивното решение не следва да се допуска. </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въпрос е решен в съответствие с практиката на ВКС и ВС, включително сочената от касатора – ТР № 1/2000 г. на ОСГК, Р № 248 от 07. 01. 2020 г. по гр. д. № 4193/2018 г., IV г. о., и др., според която съдът трябва да извърши преценка на допустимите и релевантни доказателства, да обсъди релевантните доводи и възражения на страните и да изложи ясни мотиви, тъй като в случая въззивният съд се е произнесъл по този начин, като е изложил самостоятелни фактически и правни изводи по съществото на спора. Решаващият му извод за неоснователност на предявения негаторен иск е направен след обсъждане на всички относими доказателства по делото. В допълнение следва да се отбележи, че съдът е посочил, че изградената ВиК инсталация предизвиква шум в разположената под нея спалня, но че по делото не са ангажирани доказателства, от които да се установи, че този шум е над допустимите норми. Съдът подробно е обсъдил и заключението на съдебно-техническата експертиза, както и представените писмени доказателства, от които е установено, че ВиК и ел. инсталацията са изпълнени в съответствие с одобрени от община Асеновград инвестиционни проекти.</w:t>
        <w:tab/>
        <w:br/>
        <w:tab/>
        <w:t xml:space="preserve"/>
        <w:tab/>
        <w:br/>
        <w:tab/>
        <w:t xml:space="preserve">Останалите два поставени въпроса са формулирани според твърденията на касатора и не кореспондират на данните по делото, както и на посочените по-горе съображения на съда за постановяване на обжалваното решение, поради което тези въпроси не могат да предпоставят допустимостта на касационното обжалване. Не е налице и соченият допълнителен селективен критерий по чл. 280, ал. 1, т. 1 ГПК, тъй като с посочената от касатора практика на ВКС са разгледани различни от настоящата хипотези и противоречие с нея не е налице, нито същият сочи конкретно в какво се състои то. Освен това приетото от въззивния съд е в пълно съответствие със задължителната практика на ВКС - ТР № 4/2015 г. на ОСГК, с което е прието, че за уважаването на негаторния иск по чл. 109 ЗС не е достатъчно ответникът да е извършил неоснователно действие, а е необходимо и ищецът да докаже, че то създава за ищеца пречки за ползването на собствения му имот, по-големи от обикновените (чл. 50 ЗС), което в случая не е сторено.</w:t>
        <w:tab/>
        <w:br/>
        <w:tab/>
        <w:t xml:space="preserve"/>
        <w:tab/>
        <w:br/>
        <w:tab/>
        <w:t xml:space="preserve">Не са налице и основанията за допускане на касационно обжалване по чл. 280, ал. 2 ГПК, които не се релевират от касатора.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545 от 12. 11. 2021 г., постановено по в. гр. д. № 1773/2021 г. на Пловдивския окръжен съд.</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