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№5030/31.10.2022 по гр. д. №2322/2022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2322</w:t>
        <w:tab/>
        <w:br/>
        <w:tab/>
        <w:t xml:space="preserve"/>
        <w:tab/>
        <w:br/>
        <w:tab/>
        <w:t xml:space="preserve">гр.София, 31. 10. 2022 г.</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закрито заседание на двадесет и пети октомври две хиляди двадесет и втора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изслуша докладваното от съдия А. Ц гр. д. № 2322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Комисия за противодействие на корупцията и за отнемане на незаконно придобито имущество срещу решение № 260008 от 08. 03. 2022г. на АС - Варна, постановено по в. гр. д. № 53/2021г. </w:t>
        <w:tab/>
        <w:br/>
        <w:tab/>
        <w:t xml:space="preserve"/>
        <w:tab/>
        <w:br/>
        <w:tab/>
        <w:t xml:space="preserve">В изложението на основанията за допускане на касационно обжалване е формулиран въпрос: „Представляват ли „имущество“ по см. на §1, т. 4 от ДР на ЗПКОНПИ и участват ли при определяне размера на несъответствието, съобразно разпоредбата на §1, т. 3 от ЗДР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пола за на държавата?“, по който с разпореждане от 15. 10. 2020 г. на председателя на ВКС е образувано тълкувателно дело № 4/2021 г. на ОСГК, поради наличие на противоречива практика на ВКС. Отговорът на този въпрос, по който е образувано тълкувателно дело № 4/2021 г., е от съществено значение за правилното решаване на настоящия правен спор, поради което производството по делото следва да бъде спряно на основание чл. 292 ГПК до постановяване на тълкувателно решение по тълк. д. № 4/2021 г. на ВКС, ГК. </w:t>
        <w:tab/>
        <w:br/>
        <w:tab/>
        <w:t xml:space="preserve"/>
        <w:tab/>
        <w:br/>
        <w:tab/>
        <w:t xml:space="preserve">С оглед на изложеното, Върховният касационен съд, състав на ІV гр. отд., </w:t>
        <w:tab/>
        <w:br/>
        <w:tab/>
        <w:t xml:space="preserve"/>
        <w:tab/>
        <w:br/>
        <w:tab/>
        <w:t xml:space="preserve">ОПРЕДЕЛИ: </w:t>
        <w:tab/>
        <w:br/>
        <w:tab/>
        <w:t xml:space="preserve"/>
        <w:tab/>
        <w:br/>
        <w:tab/>
        <w:t xml:space="preserve">СПИРА производството по гр. д. № 2322/2022 г. на Върховния касационен съд, IV г. о., до постановяване на Тълкувателно решение по тълк. д. № 4/2021 г. на ОСГК на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