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№2118/28.04.2025 по гр. д. №601/2025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2118</w:t>
        <w:tab/>
        <w:br/>
        <w:tab/>
        <w:t xml:space="preserve"/>
        <w:tab/>
        <w:br/>
        <w:tab/>
        <w:t xml:space="preserve">София, 28.04. 2025 година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съдебно заседание на 23.04.2025 година, в състав</w:t>
        <w:tab/>
        <w:br/>
        <w:tab/>
        <w:t xml:space="preserve"/>
        <w:tab/>
        <w:br/>
        <w:tab/>
        <w:t xml:space="preserve">ПРЕДСЕДАТЕЛ: Владимир Йорданов</w:t>
        <w:tab/>
        <w:br/>
        <w:tab/>
        <w:t xml:space="preserve"/>
        <w:tab/>
        <w:br/>
        <w:tab/>
        <w:t xml:space="preserve">ЧЛЕНОВЕ: Димитър Димитров</w:t>
        <w:tab/>
        <w:br/>
        <w:tab/>
        <w:t xml:space="preserve"/>
        <w:tab/>
        <w:br/>
        <w:tab/>
        <w:t xml:space="preserve"> Хрипсиме Мъгърдичян</w:t>
        <w:tab/>
        <w:br/>
        <w:tab/>
        <w:t xml:space="preserve"/>
        <w:tab/>
        <w:br/>
        <w:tab/>
        <w:t xml:space="preserve">разгледа докладваното от съдия Йорданов </w:t>
        <w:tab/>
        <w:br/>
        <w:tab/>
        <w:t xml:space="preserve"/>
        <w:tab/>
        <w:br/>
        <w:tab/>
        <w:t xml:space="preserve">гр. дело № 601/2025 г.</w:t>
        <w:tab/>
        <w:br/>
        <w:tab/>
        <w:t xml:space="preserve"/>
        <w:tab/>
        <w:br/>
        <w:tab/>
        <w:t xml:space="preserve">Производството е по чл.288 ГПК.</w:t>
        <w:tab/>
        <w:br/>
        <w:tab/>
        <w:t xml:space="preserve"/>
        <w:tab/>
        <w:br/>
        <w:tab/>
        <w:t xml:space="preserve">Образувано е по касационна жалба на [община] срещу въззивно решение № 213/24.10.2024 г. по в. гр. д. № 417/2024 г. на Смолянския окръжен съд, с което е потвърдено решение на Маданския районен съд, с което са уважени предявените от Е. Д. М. срещу [община] обективно съединени искове с правно основание чл.344, ал.1, т.1, т.2 и т.3 от КТ.</w:t>
        <w:tab/>
        <w:br/>
        <w:tab/>
        <w:t xml:space="preserve"/>
        <w:tab/>
        <w:br/>
        <w:tab/>
        <w:t xml:space="preserve">Ответникът по касационната жалба Е. Д. М. в писмен отговор оспорва основанията за допускане на касационно обжалване.</w:t>
        <w:tab/>
        <w:br/>
        <w:tab/>
        <w:t xml:space="preserve"/>
        <w:tab/>
        <w:br/>
        <w:tab/>
        <w:t xml:space="preserve">Жалбата е допустима, тъй като е подадена от страна по делото, която има право и интерес от касационно обжалване срещу въззивно решение по искове, за които не е предвидено ограничение за касационно обжалване и жалбата е редовна.</w:t>
        <w:tab/>
        <w:br/>
        <w:tab/>
        <w:t xml:space="preserve"/>
        <w:tab/>
        <w:br/>
        <w:tab/>
        <w:t xml:space="preserve">За да постанови обжалваното решение, въззивният съд е приел от правна страна следното:</w:t>
        <w:tab/>
        <w:br/>
        <w:tab/>
        <w:t xml:space="preserve"/>
        <w:tab/>
        <w:br/>
        <w:tab/>
        <w:t xml:space="preserve">Ищцата е работила на длъжността „Главен архитект“ на [община].</w:t>
        <w:tab/>
        <w:br/>
        <w:tab/>
        <w:t xml:space="preserve"/>
        <w:tab/>
        <w:br/>
        <w:tab/>
        <w:t xml:space="preserve">На ищцата е наложено дисциплинарно наказание „дисциплинарно уволнение“ и трудовото и правоотношение е прекратено на основание чл.190, ал.1, т.2 от КТ поради неявяване на работа в два последователни работни дни – 23 и 24.11.2023 г., което е установено с констативни протоколи, съставени от служители в общината и от свидетелските показания на тези служители, една от които е главен специалист устройство на територията и архитектурно строителен контрол в общината, която е подчинена на ищцата и в непрекъсната комуникация с нея. Тя не твърди да е знаела за служебната заетост на ищцата на посочените дати извън сградата на общината.</w:t>
        <w:tab/>
        <w:br/>
        <w:tab/>
        <w:t xml:space="preserve"/>
        <w:tab/>
        <w:br/>
        <w:tab/>
        <w:t xml:space="preserve">Ищцата е дала писмени обяснения на 05.12.2023 г., че на посочените дати, както и на следващите – 25, 26 и 30.11.2023 г. е обикаляла обекти в [населено място] - улици, които се асфалтират, [населено място] – жилищна сграда за издаване на удостоверение за търпимост, [населено място] – терени за промяна на предназначение, [населено място] – улица, която ще се асфалтира, земеделски имоти в землището на [населено място], които нямат достъп до пътища, в землището на [населено място] и [населено място] до границата с [община] - асфалтирани пътища. Обикалянето на обектите ставало с личния и автомобил или с автомобилите на собствениците. (За) всеки документ, който подписва, проверявала на място как изглежда обектът и се отнася към неговото описание. Огледът на обектите на терен при всеки случай е задължителен, тъй като (ищцата) носи отговорност за подписаните документи.</w:t>
        <w:tab/>
        <w:br/>
        <w:tab/>
        <w:t xml:space="preserve"/>
        <w:tab/>
        <w:br/>
        <w:tab/>
        <w:t xml:space="preserve">Въззивният съд е приел, че съгласно чл.5, ал.3 ЗУТ и представена длъжностна характеристика длъжността „главен архитект“ на [община] е ръководна, тя планира самостоятелно работата си и носи отговорност на предложените решения и и за достоверността на информацията.</w:t>
        <w:tab/>
        <w:br/>
        <w:tab/>
        <w:t xml:space="preserve"/>
        <w:tab/>
        <w:br/>
        <w:tab/>
        <w:t xml:space="preserve">Въззивният съд е изложил извода си, че от показанията на посочените от ищцата свидетели, се установява по категоричен начин, че на посочените дати ищцата е изпълнявала служебните си задължения, като е извършвала проверка на обекти на територията на [община] и в участъка [населено място] – [населено място] и с Л. на разклона за [населено място].</w:t>
        <w:tab/>
        <w:br/>
        <w:tab/>
        <w:t xml:space="preserve"/>
        <w:tab/>
        <w:br/>
        <w:tab/>
        <w:t xml:space="preserve">Въззивният съд е изложил извода си, че обстоятелството, че на посочените дати ищцата е работила, не се опровергава от събраните по делото доказателства – от писмата на кметовете на посочените (в обяснението) села и на директора на дирекция Специализирана администрация до кмета на [община], с които отговарят на въпроси на кмета на [община], че на посочените дати не са виждали ищцата в селата, на които са кметове, не им се е обаждала, за да посещават заедно обекти и нямат информация да е посещавала обекти на територията на кметствата им.</w:t>
        <w:tab/>
        <w:br/>
        <w:tab/>
        <w:t xml:space="preserve"/>
        <w:tab/>
        <w:br/>
        <w:tab/>
        <w:t xml:space="preserve">Така въззивният съд е формирал извода, че по делото не се установява ищцата в течение на два посочени работни дни да не е изпълнявала задълженията си (чл.190, ал.1, т.2 КТ).</w:t>
        <w:tab/>
        <w:br/>
        <w:tab/>
        <w:t xml:space="preserve"/>
        <w:tab/>
        <w:br/>
        <w:tab/>
        <w:t xml:space="preserve">Въззивният съд е приел, че обстоятелството, че ищцата не е уведомила работодателя си, че ще извършва огледи извън сградата на общинската администрация, не би могло да се квалифицира като тежко нарушение на трудовата дисциплина., което да е основание за налагане на най-тежкото дисциплинарно наказание, още повече, че според длъжностната си характеристика главният архитект организира и планира самостоятелно работата си.</w:t>
        <w:tab/>
        <w:br/>
        <w:tab/>
        <w:t xml:space="preserve"/>
        <w:tab/>
        <w:br/>
        <w:tab/>
        <w:t xml:space="preserve">Касационно обжалване на въззивното решение следва да се допусне на основание чл.280, ал.2, предл.3 ГПК по съмнение за неговата очевидна неправилност във връзка с доводите и поставените правни въпроси за това как се осъществява и при оспорване как се установява изпълнението на конкретните трудови функции на главен архитект на общината на територията на отделни населени места на общината.</w:t>
        <w:tab/>
        <w:br/>
        <w:tab/>
        <w:t xml:space="preserve"/>
        <w:tab/>
        <w:br/>
        <w:tab/>
        <w:t xml:space="preserve">Касационният жалбоподател трябва да представи доказателства за заплащане на държавна такса в размер на 210.83 лева за разглеждане на касационната му жалба.</w:t>
        <w:tab/>
        <w:br/>
        <w:tab/>
        <w:t xml:space="preserve"/>
        <w:tab/>
        <w:br/>
        <w:tab/>
        <w:t xml:space="preserve">Воден от изложеното съдът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Допуска касационно обжалване на въззивно решение № 213/24.10.2024 г. по в. гр. д. № 417/2024 г. на Смолянския окръжен съд.</w:t>
        <w:tab/>
        <w:br/>
        <w:tab/>
        <w:t xml:space="preserve"/>
        <w:tab/>
        <w:br/>
        <w:tab/>
        <w:t xml:space="preserve">Указва и дава възможност на жалбоподателя [община] в едноседмичен срок от съобщение да представи по делото доказателства за платена на ВКС държавна такса за разглеждане на касационната му жалба в размер на 210.83 лева, в противен случай производството ще бъде прекратено.</w:t>
        <w:tab/>
        <w:br/>
        <w:tab/>
        <w:t xml:space="preserve"/>
        <w:tab/>
        <w:br/>
        <w:tab/>
        <w:t xml:space="preserve">Делото да се докладва на председателя на ІV г. о. на ВКС за насрочване в открито съдебно заседание след представяне на доказателства за платена държавна такса, в противен случай да се докладва за прекратяване.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