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№5000/16.01.2023 по гр. д. №36/2022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50008</w:t>
        <w:tab/>
        <w:br/>
        <w:tab/>
        <w:t xml:space="preserve"/>
        <w:tab/>
        <w:br/>
        <w:tab/>
        <w:t xml:space="preserve">гр. София, 16. 01. 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деветнадесети декември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 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36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/>
        <w:tab/>
        <w:br/>
        <w:tab/>
        <w:t xml:space="preserve"> Образувано е по молба на „Електроразпределение Юг“ ЕАД с направено искане за поправка на очевидна фактическа грешка в постановеното по делото решение.</w:t>
        <w:tab/>
        <w:br/>
        <w:tab/>
        <w:t xml:space="preserve"/>
        <w:tab/>
        <w:br/>
        <w:tab/>
        <w:t xml:space="preserve"> Ответникът по молбата – ищец по делото, е подал отговор на молбата, с която предоставя решението по преценка на съда.</w:t>
        <w:tab/>
        <w:br/>
        <w:tab/>
        <w:t xml:space="preserve"/>
        <w:tab/>
        <w:br/>
        <w:tab/>
        <w:t xml:space="preserve"> Третото лице-помагач не е представил писмен отговор.</w:t>
        <w:tab/>
        <w:br/>
        <w:tab/>
        <w:t xml:space="preserve"/>
        <w:tab/>
        <w:br/>
        <w:tab/>
        <w:t xml:space="preserve"> Не е налице очевидна фактическа грешка, доколкото липсва противоречие между отразеното в мотивите на съда относно дължимия размер на обезщетението и посочената сума в диспозитива на въззивното решение, оставено в сила с решението на ВКС. При определянето на дължимата сума, съдът е отчел всички обстоятелства по делото, в т. ч. и посочените в молбата по чл. 247 ГПК от молителя в това производство, като липсата на противоречие между мотивите и присъдената сума, както и твърдяната грешка при изчислението на сумата, води до неоснователност на молбата.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молбата на „Електроразпределение Юг“ ЕАД с направено искане за поправка на очевидна фактическа грешка на основание чл. 247 ГПК, в постановеното по делото решение № 50176/17. 10. 2022 г., като неоснователна.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