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№367/13.04.2016 по гр. д. №1487/2016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№ 367</w:t>
        <w:tab/>
        <w:br/>
        <w:tab/>
        <w:t xml:space="preserve"> </w:t>
        <w:tab/>
        <w:br/>
        <w:tab/>
        <w:t xml:space="preserve">гр.София, 13. 04. 2016г.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РБ, четвърто гражданско отделение, в закрито заседание на дванадесети април,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/>
        <w:tab/>
        <w:br/>
        <w:tab/>
        <w:t xml:space="preserve">като разгледа докладваното от съдията Райчева гр. д.1487 описа за 2016 год.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Обжалвано е решение от 10. 12. 2015г. по гр. д.№ 2612 / 2015г., с което ОС Варна е уважил иск с правно основание чл. 59 ЗЗД и е отхвърлил насрещен иск с правно основание чл. 60 ЗЗД.</w:t>
        <w:tab/>
        <w:br/>
        <w:tab/>
        <w:t xml:space="preserve"> </w:t>
        <w:tab/>
        <w:br/>
        <w:tab/>
        <w:t xml:space="preserve">Жалбоподателят [фирма], чрез процесуалния си представител, поддържа, че с решението е даден отговор на правен въпрос от значение за спора в противоречие с практиката на ВКС, които са разрешавани противоречиви и са от значение за точното приложение на закона и развитие на правото.</w:t>
        <w:tab/>
        <w:br/>
        <w:tab/>
        <w:t xml:space="preserve"> </w:t>
        <w:tab/>
        <w:br/>
        <w:tab/>
        <w:t xml:space="preserve">Върховният касационен съд, състав на четвърто г. о., като направи преценка за наличие предпоставките на чл. 280 ГПК, приема за установено следното:</w:t>
        <w:tab/>
        <w:br/>
        <w:tab/>
        <w:t xml:space="preserve"> </w:t>
        <w:tab/>
        <w:br/>
        <w:tab/>
        <w:t xml:space="preserve">Касационно обжалване на решението на въззивния съд не следва да се допусне.</w:t>
        <w:tab/>
        <w:br/>
        <w:tab/>
        <w:t xml:space="preserve"> </w:t>
        <w:tab/>
        <w:br/>
        <w:tab/>
        <w:t xml:space="preserve">С обжалваното решение, въззивният съд, като е потвърдил първоинстанционното решение, е осъдил [фирма] да заплати на /фирма/, със седалище и адрес на управление [населено място], сумата от 8 160 лева, представляваща сбор от дължимото обезщетение за неоснователно лишаване от ползването на собствените на ищеца машини – фреза, струг, семепочистващи машини -4бр. и зърнопочистваща машина, за периода от 20. 10. 2011г. до 04. 06. 2014г., ведно със законната лихва от завеждане на исковата молба – 17. 11. 2014г. до окончателното погасяване на задължението, както е отхвърлил предявения от [фирма] срещу /фирма/ насрещен иск за осъждане на ответника да заплати сумата в общ размер от 10 266 лева, представляваща сбор от платено възнаграждение за охрана по Договор за охрана от 01. 07. 2012г. на собствените вещи на ищеца, находящи се в [населено място], за периода от месец юни до месец ноември 2014г вкл., ведно със законната лихва върху главницата считано от датата на подаване на насрещната исковата молба - 09. 01. 2015г. до окончателното плащане. </w:t>
        <w:tab/>
        <w:br/>
        <w:tab/>
        <w:t xml:space="preserve"> </w:t>
        <w:tab/>
        <w:br/>
        <w:tab/>
        <w:t xml:space="preserve"> Установено е, от представеното влязло в законна сила решение № 4438/16. 10. 2013г. по гр. д. № 1332/2012г. по описа на РС Варна, че [фирма] е осъден да предаде на /фирма/ владението върху собствените му движими вещи, Прието е, от представените протоколи, изготвени по изп. д. № 20148090400299 по описа на ЧСИ С. К., че машините се намират в имот на ответника, представляващ производствени и складови помещения в стопански двор на П. Единство, находящи се в [населено място].</w:t>
        <w:tab/>
        <w:br/>
        <w:tab/>
        <w:t xml:space="preserve"> </w:t>
        <w:tab/>
        <w:br/>
        <w:tab/>
        <w:t xml:space="preserve">Констатирано е от представените протоколи от 04. 06. 2014г и от 09. 12. 2014г. на ЧСИ К., рег. № 809, район на действие В., че за изпълнение на решението по гр. д. № 1332/2012г. по описа на В. е образувано изпълнително дело № 20148090400299, като е насрочено изпълнение за предаване на движимите вещи но към 09. 12. 2014г. предаване на вещите все още не е осъществено.</w:t>
        <w:tab/>
        <w:br/>
        <w:tab/>
        <w:t xml:space="preserve"> </w:t>
        <w:tab/>
        <w:br/>
        <w:tab/>
        <w:t xml:space="preserve">Установено е също, че с договор за охрана от 01. 07. 2012г. /фирма/ е възложил на трето за спора лице – [фирма], да осъществява невъоръжена охрана и осъществяване на пропусквателен режим на складови бази находящи се в [населено място], [населено място], и [населено място], за срок от 3 г., считано от 01. 07. 2012г. при месечно възнаграждение 10 000 лева, което е променено с анекс от 01. 08. 2012г. до размер от 13 000 лева. Приети са по делото фактури, издадени в периода м. 07. 2014-12. 2014г. на основание договора за охрана и платежни нареждания към тях, като от заключение на вещо лице е установено, че са заплатени.</w:t>
        <w:tab/>
        <w:br/>
        <w:tab/>
        <w:t xml:space="preserve"> </w:t>
        <w:tab/>
        <w:br/>
        <w:tab/>
        <w:t xml:space="preserve">От заключение на вещо лице по делото съдът е приел, че средният месечен пазарен наем за ползване на машините в рамките на исковия период е 274, 75 лева общо. </w:t>
        <w:tab/>
        <w:br/>
        <w:tab/>
        <w:t xml:space="preserve"> </w:t>
        <w:tab/>
        <w:br/>
        <w:tab/>
        <w:t xml:space="preserve">При тези данни съдът е приел, че предявеният главен иск намира правното си основание в нормата на чл. 59 ЗЗД. Съдът е приел, че са установени всички предпоставки на иска за заплащане обезщетение за ползите, от които е бил лишен от ответника, държейки без основание собствената първия вещ, и го е уважил до размер на 8 160 лв., както и акцесорното искане за заплащане на законната лихва от подаване на исковата молба до окончателното изплащане.</w:t>
        <w:tab/>
        <w:br/>
        <w:tab/>
        <w:t xml:space="preserve"> </w:t>
        <w:tab/>
        <w:br/>
        <w:tab/>
        <w:t xml:space="preserve">По насрещният иск съдът е приел, че е с правно основание чл. 60 ЗЗД. Счел е, че в конкретния случай не се установява, че предприета от ответника работа-охрана на обекти, касае само осигуряване личната собственост на ответника. Прието е, че не се установява какво се намира в охраняваната складова база, поради което и не може да се направи извод, че процесните движими вещи са част от охранявания обект. Затова и доколкото не се установи от ответника да е предприета работа, която касае чужда собственост, а напротив, установи се, че предприетата такава е само в собствен интерес, то и предявеният насрещен иск се явява неоснователен. </w:t>
        <w:tab/>
        <w:br/>
        <w:tab/>
        <w:t xml:space="preserve"> </w:t>
        <w:tab/>
        <w:br/>
        <w:tab/>
        <w:t xml:space="preserve">В изложение по чл. 284, ал. 3 ГПК, жалбоподателят, чрез процесуалния си представител поддържа, че в решението е даден отговор на правни въпроси от значение за спора: за задължението на съда да изложи свои аргументи по спора: за задължението на съда да обсъди заключение на вещо лице в съвкупност с всички събрени по делото доказателства. Поддържа, че са налице основания по чл. 280, ал. 1,т. 1- 3 ГПК за допускане на касационно обжалване. Позовава се и на ТР№1/2013г. О. ТК на ВКС.</w:t>
        <w:tab/>
        <w:br/>
        <w:tab/>
        <w:t xml:space="preserve"> </w:t>
        <w:tab/>
        <w:br/>
        <w:tab/>
        <w:t xml:space="preserve">Върховният касационен съд, състав на ІV г. о. намира, че не следва да се допусне касационно обжалване по поставения от жалбоподателя въпрос и на сочените от него основания. На същия съдът е дал отговор в съответствие с практиката на ВКС, изразена и в постановено по реда на чл. 290 ГПК решение от 13. 02. 2012г. по гр. д.№408/2010г.,първо г. о. на ВКС. В същата се приема, че съгласно разпоредбата на чл. 195 ГПК, аналогична на чл. 157, ал. 1 ГПК отм. вещо лице се назначава когато за изясняване на някои възникнали по делото въпроси са нужни специални знания от областта на науката, изкуството, занаятите и др., каквито съдът няма. Посочва се, че по аргумент от чл. 201 ГПК заключението на вещото лице трябва да бъде пълно, ясно и мотивирано и целта на експертизата е да изнесе пред съда всички онези факти и връзки между тях, за които са необходими специални знания и по този начин да подпомогне съда при формиране на фактическите, а оттам и на правните му изводи по спора. Посочва се, че съдът не е длъжен да възприеме заключението на вещото лице. </w:t>
        <w:tab/>
        <w:br/>
        <w:tab/>
        <w:t xml:space="preserve"> </w:t>
        <w:tab/>
        <w:br/>
        <w:tab/>
        <w:t xml:space="preserve">Тази практика не е противоречива, нито е неправилна и не се налага да бъде коригирана като бъде допуснато касационно обжалване на основание чл. 280, ал. 1, т. 2 и 3 ГПК.</w:t>
        <w:tab/>
        <w:br/>
        <w:tab/>
        <w:t xml:space="preserve"> </w:t>
        <w:tab/>
        <w:br/>
        <w:tab/>
        <w:t xml:space="preserve">Предвид изложените съображения, съдътО п р е д е л и: </w:t>
        <w:tab/>
        <w:br/>
        <w:tab/>
        <w:t xml:space="preserve"> </w:t>
        <w:tab/>
        <w:br/>
        <w:tab/>
        <w:t xml:space="preserve">НЕ ДОПУСКА касационно обжалване на решение от 10. 12. 2015г. по гр. д.№ 2612 / 2015г. на ОС Варна.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