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№96/30.03.2017 по гр. д. №1063/2017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96 </w:t>
        <w:tab/>
        <w:br/>
        <w:tab/>
        <w:t xml:space="preserve"> </w:t>
        <w:tab/>
        <w:br/>
        <w:tab/>
        <w:t xml:space="preserve"> Гр.С., 30. 03. 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осми март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............., като разгледа докладваното от съдията Русева г. д. N.1063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Образувано е по молба вх.№.61692/28. 11. 16 на Н. Г. К. за отмяна на основание чл. 303 ал. 1 т. 2 ГПК на влязло в сила решение №.1740/10. 10. 16 по г. д.№.1704/16 на Окръжен съд Пловдив, 9с. - с което е потвърдено решение №.1605/14. 05. 16 по г. д.№.20/16 на Пловдивски районен съд, трети граждански състав, за признаване за установено, че молителят дължи на ЕС на адрес [населено място], [улица], 10лв. разходи за поддържане на общи части за м. 01-м. 02. 15г. Сочи се, че констатациите в решението – че възражението за прихващане на молителя и съпругата му не е конкретизирано по основание, размер и ответник - са неверни, твърдението прави решението с невярно съдържание, а действията на съдиите са престъпни.</w:t>
        <w:tab/>
        <w:br/>
        <w:tab/>
        <w:t xml:space="preserve"> </w:t>
        <w:tab/>
        <w:br/>
        <w:tab/>
        <w:t xml:space="preserve">Ответната страна ЕС на сграда на [улица], [населено място], оспорва молбата.</w:t>
        <w:tab/>
        <w:br/>
        <w:tab/>
        <w:t xml:space="preserve"> </w:t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акт, в законоустановен срок,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 вх.№.61692/28. 11. 16 на Н. Г. К. за отмяна на основание чл. 303 ал. 1 т. 2 ГПК на потвърденото с решение №.1740/10. 10. 16 по г. д.№.1704/16 на Окръжен съд Пловдив, 9с., решение №.1605/14. 05. 16 по г. д.№.20/16 на Пловдивски районен съд, трети граждански състав.</w:t>
        <w:tab/>
        <w:br/>
        <w:tab/>
        <w:t xml:space="preserve"> </w:t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