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№145/18.05.2011 по гр. д. №418/2010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Неоснователно обогатяване – субсидиарно приложение</w:t>
        <w:tab/>
        <w:br/>
        <w:tab/>
        <w:t xml:space="preserve"> </w:t>
        <w:tab/>
        <w:br/>
        <w:tab/>
        <w:t xml:space="preserve">лични отношения между родители и деца</w:t>
        <w:tab/>
        <w:br/>
        <w:tab/>
        <w:t xml:space="preserve"> </w:t>
        <w:tab/>
        <w:br/>
        <w:tab/>
        <w:t xml:space="preserve">издръжка на ненавършилите пълнолетие деца от родители</w:t>
        <w:tab/>
        <w:br/>
        <w:tab/>
        <w:t xml:space="preserve"> </w:t>
        <w:tab/>
        <w:br/>
        <w:tab/>
        <w:t xml:space="preserve">интерес на детето</w:t>
        <w:tab/>
        <w:br/>
        <w:tab/>
        <w:t xml:space="preserve"> </w:t>
        <w:tab/>
        <w:br/>
        <w:tab/>
        <w:t xml:space="preserve">здравословни проблеми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145</w:t>
        <w:tab/>
        <w:br/>
        <w:tab/>
        <w:t xml:space="preserve"> </w:t>
        <w:tab/>
        <w:br/>
        <w:tab/>
        <w:t xml:space="preserve">София 18. 05. 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девети март,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> </w:t>
        <w:tab/>
        <w:br/>
        <w:tab/>
        <w:t xml:space="preserve"> ЧЛЕНОВЕ: МАРИО ПЪРВАНОВ </w:t>
        <w:tab/>
        <w:br/>
        <w:tab/>
        <w:t xml:space="preserve"> </w:t>
        <w:tab/>
        <w:br/>
        <w:tab/>
        <w:t xml:space="preserve"> БОРИС ИЛИЕВ </w:t>
        <w:tab/>
        <w:br/>
        <w:tab/>
        <w:t xml:space="preserve"/>
        <w:tab/>
        <w:br/>
        <w:tab/>
        <w:t xml:space="preserve">при секретаря Райна Пенкова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418/2010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Е. А. Н., [населено място], подадена от пълномощника му адвокат С. Р., срещу въззивно решение №1692 от 21. 12. 2009 г. по гр. дело №1833/2009 г. на Варненския окръжен съд, с което частично е отменено решение №2254 от 10. 07. 2009 г. по гр. дело №7758/2007 г. на Варненския районен съд относно режима на лични контакти на касатора със сина му А. Е. Н., [дата на раждане], като е определен режим на личен контакт между детето и бащата - всяка първа и трета събота от месеца от 9 ч. до 18 ч. в присъствието на майката до навършване на шестгодишна възраст на детето, а след това всяка първа и трета събота и неделя от месеца за времето от 9 ч. в събота до 18 ч. в неделя, с преспиване на детето при бащата, втория ден от коледните и великденските празници, както и за един месец през лятото в периода от първи юни до първи септември. Оставено е в сила първоинстанционното решение в останалата обжалвана част относно присъдената месечна издръжка от 200 лв. Касационната жалба е срещу въззивното решение в частта относно издръжката за разликата от 80 лв. до 200 лв. и относно определения режим на лични контакти на касатора със сина му А. Е. Н.. Въззивният съд е приел, че е в интерес на детето да бъде ограничен режимът на личен контакт между детето и бащата до навършване на шестгодишна възраст на детето. Това се обуславя от здравословното състояние на детето, което е затруднено да се обслужва само и поради липсата на редовни контакти между бащата и детето след фактическата раздяла между родителите, в резултат на което детето почти не познава баща си. Размерът на издръжката е определен съобразно изискванията на чл. 143, ал. 3 СК според възможностите и материалното състояние на родителите. </w:t>
        <w:tab/>
        <w:br/>
        <w:tab/>
        <w:t xml:space="preserve"> </w:t>
        <w:tab/>
        <w:br/>
        <w:tab/>
        <w:t xml:space="preserve"> С определение №821 от 14. 07. 2010 г. е допуснато касационно обжалване на въззивно решение №1692 от 21. 12. 2009 г. по гр. дело №1833/2009 г. на Варненския окръжен съд в частта, с която е определен режим на лични контакти на Е. А. Н. със сина му А. Е. Н., [дата на раждане] Обжалването е допуснато поради противоречивото разрешаване на правните въпроси за това кои обстоятелствата могат да наложат постановяване на силно ограничителен режим на лични отношения на бащата с детето. </w:t>
        <w:tab/>
        <w:br/>
        <w:tab/>
        <w:t xml:space="preserve"> </w:t>
        <w:tab/>
        <w:br/>
        <w:tab/>
        <w:t xml:space="preserve"> Жалбоподателят е изложил твърдения за допуснати нарушения на материалния закон, необоснованост и съществени нарушения на съдопроизводствените правила – основания за отмяна по чл. 281, т. 3 ГПК. Според него въззивният съд неправилно е определил ограничителен режим на лични отношения между него и сина му до навършване на шестгодишна възраст на детето, включително и осъществяването на личния контакт в присъствието на майката. Не е съобразна спецификата на конкретния случай. </w:t>
        <w:tab/>
        <w:br/>
        <w:tab/>
        <w:t xml:space="preserve"> </w:t>
        <w:tab/>
        <w:br/>
        <w:tab/>
        <w:t xml:space="preserve"> Ответницата по касационната жалба Ц. Д. Н., [населено място], оспорва жалбата.</w:t>
        <w:tab/>
        <w:br/>
        <w:tab/>
        <w:t xml:space="preserve"/>
        <w:tab/>
        <w:br/>
        <w:tab/>
        <w:t xml:space="preserve">По въпросите, обусловили допускане на касационното обжалване,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При предоставяне упражняването на родителските права и определяне режима на личните отношения между детето и родителя, на когото то не е предоставено, съдебната намеса се предприема въз основа на обществения интерес като се изхожда от съображения за целесъобразност с оглед интересите и на детето, и на родителите. Основната цел е да се организират родителските функции по начин, който най-пълно отговаря на интересите на детето. Негова естествена потребност е да общува и с двамата си родители. Чрез режима на личните отношения трябва да се постигне възможност децата да растат и се развиват под грижата и с подкрепата и на двамата родители. По тази причина по принцип мерките за лични отношения трябва да предоставят най-широка възможност за общуване между родителя и детето, при положение че не се налага ограничаване или лишаване от родителски права. При конкретното определяне на мерките трябва да се изхожда от особеностите на всеки отделен случай.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разгледа жалбата и провери обжалваното решение с оглед изискванията на чл. 290, ал. 2 ГПК, намира същата за основателна поради следните съображения:</w:t>
        <w:tab/>
        <w:br/>
        <w:tab/>
        <w:t xml:space="preserve"> </w:t>
        <w:tab/>
        <w:br/>
        <w:tab/>
        <w:t xml:space="preserve"> Въззивният съд е приел, че бракът между страните е дълбоко и непоправимо разстроен по вина на двамата съпрузи. Родителските права върху детето на страните А. Е. Н., [дата на раждане], са предоставени на майката. Съобразно приетото по-горе по основния за изхода на спора въпрос относно обстоятелствата, които могат да наложат постановяване на силно ограничителен режим на лични отношения на бащата с детето, изводите на въззивния съд, че е в интерес на детето да бъде ограничен режимът на личен контакт с бащата поради здравословното състояние на детето и поради липсата на редовни контакти между бащата и детето след фактическата раздяла между родителите, са неправилни. Детето не е в кърмаческа възраст и заболяването му, поради което движенията на ръката му са ограничени като то не може да си вдига изцяло ръката в рамото, не обуславя нужди, който родният му баща да не може да удовлетвори.</w:t>
        <w:tab/>
        <w:br/>
        <w:tab/>
        <w:t xml:space="preserve"/>
        <w:tab/>
        <w:br/>
        <w:tab/>
        <w:t xml:space="preserve">Това налага касиране на въззивното решение и произнасяне по съществото на спора относно режима на личните отношения на детето с бащата. Същият следва да бъде както следва: всяка първа и трета събота и неделя от месеца за времето от 9 ч. в събота до 18 ч. в неделя, с преспиване на детето при бащата, коледните или великденските празници, както и за един месец през лятото в периода от първи юни до първи септември. </w:t>
        <w:tab/>
        <w:br/>
        <w:tab/>
        <w:t xml:space="preserve"> </w:t>
        <w:tab/>
        <w:br/>
        <w:tab/>
        <w:t xml:space="preserve"> Съобразно изхода на спора деловодни разноски не следва да се присъждат. </w:t>
        <w:tab/>
        <w:br/>
        <w:tab/>
        <w:t xml:space="preserve"> </w:t>
        <w:tab/>
        <w:br/>
        <w:tab/>
        <w:t xml:space="preserve"> По изложените съображения и на основание чл. 293, ал. 1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въззивно решение №1692 от 21. 12. 2009 год. по гр. дело №1833/2009 г. на Варненския окръжен съд в частта, с която е определен режим на лични контакти на Е. А. Н. със сина му А. Е. Н., [дата на раждане] и вместо това ПОСТАНОВЯВА:</w:t>
        <w:tab/>
        <w:br/>
        <w:tab/>
        <w:t xml:space="preserve"> </w:t>
        <w:tab/>
        <w:br/>
        <w:tab/>
        <w:t xml:space="preserve"> ОПРЕДЕЛЯ РЕЖИМ НА ЛИЧНИ ОТНОШЕНИЯ на Е. А. Н., [населено място], със сина му А. Е. Н., [дата на раждане], както следва: всяка първа и трета събота и неделя от месеца за времето от 9 ч. в събота до 18 ч. в неделя, с преспиване на детето при бащата, коледните или великденските празници, както и за един месец през лятото в периода от първи юни до първи септември.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