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№265/18.05.2021 по ч. търг. д. №1623/2020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№265</w:t>
        <w:tab/>
        <w:br/>
        <w:tab/>
        <w:t xml:space="preserve"> </w:t>
        <w:tab/>
        <w:br/>
        <w:tab/>
        <w:t xml:space="preserve">гр. София, 18. 05. 2021 г.</w:t>
        <w:tab/>
        <w:br/>
        <w:tab/>
        <w:t xml:space="preserve"> </w:t>
        <w:tab/>
        <w:br/>
        <w:tab/>
        <w:t xml:space="preserve">В. К. С на Р. Б, ТК, II отделение, в закрито заседание на двадесет и седми април, две хиляди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д.№1623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О. В дол срещу решение №66 от 05. 03. 2020 г. по в. т.д.№758/2019 г. на АС Варна. С обжалваното решение е потвърдено решение №887 от 16. 10. 2019 г. по т. д.№1263/2018 г. на ОС Варна, с което е отхвърлен предявеният от О. В дол срещу „Технокар“ ЕООД иск по чл. 422 вр. чл. 415 от ГПК за приемане на установено в отношенията между страните, че ответното дружество дължи на ищеца сума в размер на 215 782. 32 лв., представляваща недължимо платена главница, образувана въз основа на начислени и издадени за периода от 2008 г. до 2016 г. фактури за услуга „Депониране на битови отпадъци“ по договор №РД-08-01-527/20. 04. 2007 г., ведно със законната лихва върху главницата от 29. 05. 2018 г. до окончателното изплащане на задължението, за които суми е издадена заповед №4037/30. 05. 2018 г. за изпълнение на парично задължение въз основа на документ по чл. 417 ГПК по ч. гр. д.№8245/2018 г. на РС Варна. </w:t>
        <w:tab/>
        <w:br/>
        <w:tab/>
        <w:t xml:space="preserve"> </w:t>
        <w:tab/>
        <w:br/>
        <w:tab/>
        <w:t xml:space="preserve">В жалбата се излагат съображения,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следния въпрос, за който се твърди, че е налице селективното основание по чл. 280, ал. 1, т. 1 от ГПК: Липсата в документацията по провеждане на обществена поръчка на самостоятелен план-сметка на цената на депониране на отпадъците, съгласно изискванията на Наредба №8/2004 г. за условията и изискванията за изграждане и експлоатация на депа и други съоръжения и инсталации за оползотворяване и обезвреждане на отпадъци, представлява ли такова нарушение на процедурата по провеждането й, което да препятства извод за включване на цената на дейността по депонирането в тази за „поддръжка и охрана“. </w:t>
        <w:tab/>
        <w:br/>
        <w:tab/>
        <w:t xml:space="preserve"> </w:t>
        <w:tab/>
        <w:br/>
        <w:tab/>
        <w:t xml:space="preserve"> Ответникът по касация „Технокар“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спорът по делото е концентриран върху въпроса дали с договора за обществена поръчка, сключен между страните, е извършено възлагане за изпълнение на дейността по депониране и обезвреждане на неопасни битови отпадъци на територията на О. В дол, респективно дали цената на същата е елемент от договореното с него възнаграждение. След тълкуване на сключения договор и съобразявайки предмета на същия, както и вида на възложените с него и изпълнени дейности, съобразно смисъла на понятията дадени в ЗУО и Наредба №8/2004г. за условията и изискванията за изграждане и експлоатация на депа и други съоръжения и инсталация за оползотворяване и обезвреждане на отпадъци /в сила към момента на сключване на договора и в чл. 15 от която е регламентиран начина на формиране на цената за депониране, както и необходимостта същата да се определи въз основа на план-сметка, която е неразделна част от договора за възлагане на обществена поръчка за дейността по депониране на отпадъци/ и след съвкупен анализ на събраните по делото доказателства /обявлението на поръчката, разясненията по нея, офертата на изпълнителя съдържаща описание на дейностите и цена за депониране, сключения договор, осъществявания от възложителя контрол на депонирането и количеството постъпил в сметището боклук/, въззивният съд е намерил, че част от дейностите по откритата обществена поръчка за сметосъбиране и сметоизвозване на битовите и строителни отпадъци на територията на [община] дол за периода 2007 г. – 2017 г. са и дейностите по обезвреждане и депониране на отпадъците, които са възложени за изпълнение на „Технокар“ ЕООД със сключения между страните договор. Посочил е, че при публикуване на обявлението на обществената поръчка, както и при класиране на кандидатите за изпълнители, от същите не е поискана оферта с цена за част от възложените действия като: обезвреждане; депониране на отпадъците и почистването на нерегламентираните сметища/замърсявания, но стойността на тези дейности е част от общата годишна цена по предложената от изпълнителя/ответник оферта, съобразно подробното й описание, като стойността на дейността по депониране на отпадъците не е част от оферираната от изпълнителя цена за „поддръжка и охрана на сметището“ в размер на 1496 лв. месечно, предвид приложената справка за формираната годишна цена на изпълнение на възложените дейности и съобразно разпоредбите на Наредба №8/2004г., според които поддръжка на сметището е по-широко понятие и включва допълнителни задължения на оператора на същото. Акцентирал е, че съгласно наредбата, при възлагане на обществената поръчка е необходимо да бъде представен самостоятелен план - сметка на цената за депонирането на отпадъците, което е направено през 2012 г., с подписания допълнителен констативен протокол между страните, но липсата му към документацията по провеждане на обществената поръчка, макар и да би могло да представлява нарушение на процедурата по провеждането й, остава извън предмета на предявените искове и не може да обоснове и извод за включване на цената на дейността по депонирането в тази за „поддръжка и охрана“, още повече, че по делото липсват наведени твърдения, че заплатеното по договора възнаграждение е над договорения между страните общ размер. Предвид изложеното и доколкото от събраните по делото доказателства се установява наличието на останалите предвидени в договора предпоставки за заплащане на възнаграждението за изпълнение дейностите по обществената поръчка, а именно съставяне на месечни отчети и приемане на работата с приложените констативни протоколи, е достигнал до извод за неоснователност на исковете, тъй като извършеното от ищеца плащане е било в изпълнение на поетите с договора задължения за заплащане на възложените и извършени от изпълнителя дейности по обществената поръчка, включващи и стойността на депониране на отпадъците.</w:t>
        <w:tab/>
        <w:br/>
        <w:tab/>
        <w:t xml:space="preserve"> </w:t>
        <w:tab/>
        <w:br/>
        <w:tab/>
        <w:t xml:space="preserve">Настоящият състав намира, че обжалваното решение не следва да бъде допуснато до касационно обжалване.</w:t>
        <w:tab/>
        <w:br/>
        <w:tab/>
        <w:t xml:space="preserve"> </w:t>
        <w:tab/>
        <w:br/>
        <w:tab/>
        <w:t xml:space="preserve">Освен, че с поставения в изложението въпрос по същество се оспорва правилността на направения от въззивния съд извод, че цената на дейността по депонирането не е включена в тази за „поддръжка и охрана“ /който извод може да бъде предмет на проверка едва при допуснато касационно обжалване/, отговорът на въпроса на касатора винаги се свързва и е обусловен от конкретни факти и обстоятелства, които са релевантни за конкретния спор, от което може да се направи извод, че всъщност въпросът е фактически и се решава за всеки конкретен случай. От друга страна в случая въззивният съд не е изразявал становище за нарушение на релевантната към процесния договор разпоредба на ЗОП отм. - чл. 41, ал. 2 в ред. ДВ бр. 37/2006 г., какъвто извод всъщност се предпоставя с формулираният от касатора въпрос. Следва да се посочи, че в практиката на ВКС не съществува съмнение, че източник на задълженията на страните е договорът за обществена поръчка, за който към момента на сключването му, изискването на закона е било да включва задължително всички предложения от офертата на участника, въз основа на които е определен за изпълнител /каквото е и възприетото в решението становище на въззивния съд/, още повече, че невинаги договорите, сключени в нарушение на правилата, установени от ЗОП, са нищожни /в редица уредени от закона случаи несъобразяването със задължаваща норма не води до нищожност на сключената сделка, а предизвиква други гражданскоправни последици, респективно поражда преобразуващи права/. В този смисъл формулираният от касатора въпрос не отговаря на общото изискване на разпоредбата на чл. 280, ал. 1, от ГПК, поради което и касационно обжалване не може да бъде допуснато.</w:t>
        <w:tab/>
        <w:br/>
        <w:tab/>
        <w:t xml:space="preserve"> </w:t>
        <w:tab/>
        <w:br/>
        <w:tab/>
        <w:t xml:space="preserve">С оглед изхода на делото касаторът дължи на ответника по касация направени разноски за адвокатско възнаграждение в размер на 7 800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решение №66 от 05. 03. 2020 г. по в. т.д.№758/2019 г. на АС Варна.</w:t>
        <w:tab/>
        <w:br/>
        <w:tab/>
        <w:t xml:space="preserve"> </w:t>
        <w:tab/>
        <w:br/>
        <w:tab/>
        <w:t xml:space="preserve">ОСЪЖДА О. В дол да заплати на „Технокар“ ЕООД,[ЕИК] сумата от 7800 лв., разноски пред ВКС.</w:t>
        <w:tab/>
        <w:br/>
        <w:tab/>
        <w:t xml:space="preserve"> </w:t>
        <w:tab/>
        <w:br/>
        <w:tab/>
        <w:t xml:space="preserve">Определението не може да се обжалва.</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