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CASE OF RADU AND OTHERS V. ROMANIA (2021)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ПРОЦЕДУРА</w:t>
        <w:tab/>
        <w:br/>
        <w:tab/>
        <w:t xml:space="preserve">1. Делото е образувано по заявления срещу Румъния, подадени в Съда съгласно член 34 от Конвенцията за защита на правата на човека и основните свободи („Конвенцията“) на различни дати, посочени в приложената таблица.</w:t>
        <w:tab/>
        <w:br/>
        <w:tab/>
        <w:t xml:space="preserve">2. Румънското правителство („Правителството“) е уведомено за заявленията.</w:t>
        <w:tab/>
        <w:br/>
        <w:tab/>
        <w:t xml:space="preserve">ФАКТИТЕ</w:t>
        <w:tab/>
        <w:br/>
        <w:tab/>
        <w:t xml:space="preserve">3. Списъкът на жалбоподателите и съответните подробности по заявленията са изложени в приложената таблица.</w:t>
        <w:tab/>
        <w:br/>
        <w:tab/>
        <w:t xml:space="preserve">4. Жалбоподателите се оплакват от незадоволителните условия на задържането си.</w:t>
        <w:tab/>
        <w:br/>
        <w:tab/>
        <w:t xml:space="preserve">ПРАВОТООБЕДИНЯВАНЕ НА ЗАЯВЛЕНИЯТА</w:t>
        <w:tab/>
        <w:br/>
        <w:tab/>
        <w:t xml:space="preserve">5. Като взема предвид сходния предмет на заявленията, Съдът намира за целесъобразно да ги разгледа съвместно в едно решение.</w:t>
        <w:tab/>
        <w:br/>
        <w:tab/>
        <w:t xml:space="preserve">ТВЪРДЯНО НАРУШЕНИЕ НА ЧЛЕН 3 ОТ КОНВЕНЦИЯТА</w:t>
        <w:tab/>
        <w:br/>
        <w:tab/>
        <w:t xml:space="preserve">6. Жалбоподателите се оплакват от незадоволителните условия на задържането си. Те се позовават на член 3 от Конвенцията, който гласи:</w:t>
        <w:tab/>
        <w:br/>
        <w:tab/>
        <w:t xml:space="preserve">Член 3</w:t>
        <w:tab/>
        <w:br/>
        <w:tab/>
        <w:t xml:space="preserve">„Никой не може да бъде подложен на изтезания или на нечовешко или унизително отнасяне или наказание.“</w:t>
        <w:tab/>
        <w:br/>
        <w:tab/>
        <w:t xml:space="preserve">7. Във всички заявления Правителството повдига предварително възражение относно загубата на статут на жертва от страна на жалбоподателите за периодите на задържане, посочени в приложената таблица, тъй като им е предоставено адекватно обезщетение въз основа на Закон № 169/2017 за изменение и допълнение на Закон № 254/2013 относно изпълнението на присъди за тези конкретни периоди на задържане.</w:t>
        <w:tab/>
        <w:br/>
        <w:tab/>
        <w:t xml:space="preserve">8. Съдът отбелязва, че вътрешноправното средство за защита, въведено по отношение на незадоволителните условия на задържане в Румъния и приложимо до декември 2019 г., е счетено за ефективно по делото Dîrjan и Ştefan срещу Румъния ((реш.), №№ 14224/15 и 50977/15, §§ 23-33, 15 април 2020 г.). Това средство за защита е на разположение на жалбоподателите по настоящите заявления и на тях действително им е предоставено адекватно обезщетение за определени периоди на задържане (за подробности виж приложената таблица).</w:t>
        <w:tab/>
        <w:br/>
        <w:tab/>
        <w:t xml:space="preserve">9. Следователно Съдът приема възражението на Правителството и намира, че тези части от заявленията са несъвместими ratione personae с разпоредбите на Конвенцията и трябва да бъдат отхвърлени съгласно член 35, §§ 3 (а) и 4 от Конвенцията.</w:t>
        <w:tab/>
        <w:br/>
        <w:tab/>
        <w:t xml:space="preserve">10. По отношение на останалите периоди на задържане на жалбоподателите, както е посочено в приложената таблица, Съдът отбелязва, че жалбоподателите са държани в арест при лоши условия. Подробностите за задържането на жалбоподателите са посочени в приложената таблица. Съдът се позовава на принципите, установени в неговата съдебна практика относно незадоволителните условия на задържане (вж. например Muršić срещу Хърватия [ГК], № 7334/13, §§ 96-101, ECHR 2016). Той повтаря по-специално, че сериозната липса на пространство в затворническа килия тежи силно като фактор, който трябва да бъде взет предвид при установяване дали описаните условия на задържане са „унизителни“ от гледна точка на член 3 и може да разкрие нарушение, както самостоятелно, така и в съвкупност с други недостатъци (вж. Muršić, цитирано по-горе, §§ 122-141, и Ananyev и други срещу Русия, №№ 42525/07 и 60800/08, §§ 149-159, 10 януари 2012 г.).</w:t>
        <w:tab/>
        <w:br/>
        <w:tab/>
        <w:t xml:space="preserve">11. По водещото дело Rezmiveș и други срещу Румъния (№№ 61467/12 и 3 други, 25 април 2017 г.) Съдът вече констатира нарушение по отношение на въпроси, сходни с тези по настоящото дело.</w:t>
        <w:tab/>
        <w:br/>
        <w:tab/>
        <w:t xml:space="preserve">12. След като разгледа всички представени му материали, Съдът не намира факти или аргументи, които да го убедят да достигне до различно заключение относно допустимостта и основателността на тези жалби. Като взема предвид своята съдебна практика по въпроса, Съдът счита, че в настоящия случай условията на задържане на жалбоподателите, както е посочено в приложената по-долу таблица, са незадоволителни.</w:t>
        <w:tab/>
        <w:br/>
        <w:tab/>
        <w:t xml:space="preserve">13. Следователно тези жалби са допустими и разкриват нарушение на член 3 от Конвенцията.</w:t>
        <w:tab/>
        <w:br/>
        <w:tab/>
        <w:t xml:space="preserve">ОСТАНАЛИ ЖАЛБИ</w:t>
        <w:tab/>
        <w:br/>
        <w:tab/>
        <w:t xml:space="preserve">14. По заявление № 50868/16, жалбоподателят повдига също и оплаквания по член 3 от Конвенцията относно периоди на задържане, предшестващи началната дата, посочена в приложената таблица.</w:t>
        <w:tab/>
        <w:br/>
        <w:tab/>
        <w:t xml:space="preserve">15. Съдът разгледа тези оплаквания и счита, че в светлината на всички налични му материали и доколкото оплаканите въпроси попадат в неговата компетентност, тези оплаквания не отговарят на критериите за допустимост, изложени в член 35, § 1 от Конвенцията, тъй като са подадени извън шестмесечния срок.</w:t>
        <w:tab/>
        <w:br/>
        <w:tab/>
        <w:t xml:space="preserve">16. От това следва, че тези части от заявление № 50868/16 трябва да бъдат отхвърлени съгласно член 35, § 4 от Конвенцията.</w:t>
        <w:tab/>
        <w:br/>
        <w:tab/>
        <w:t xml:space="preserve">ПРИЛАГАНЕ НА ЧЛЕН 41 ОТ КОНВЕНЦИЯТА</w:t>
        <w:tab/>
        <w:br/>
        <w:tab/>
        <w:t xml:space="preserve">17. Член 41 от Конвенцията гласи:</w:t>
        <w:tab/>
        <w:br/>
        <w:tab/>
        <w:t xml:space="preserve">„Ако Съдът установи, че е налице нарушение на Конвенцията или на Протоколите към нея, и ако вътрешното право на съответната Високодоговаряща страна допуска само частично обезщетение, Съдът, при необходимост, ще присъди справедливо обезщетение на увредената страна.“</w:t>
        <w:tab/>
        <w:br/>
        <w:tab/>
        <w:t xml:space="preserve">18. Като взема предвид документите, с които разполага, и своята съдебна практика (вж. по-специално Rezmiveș и други, цитирано по-горе), Съдът счита за разумно да присъди сумите, посочени в приложената таблица.</w:t>
        <w:tab/>
        <w:br/>
        <w:tab/>
        <w:t xml:space="preserve">19. Съдът счита за уместно лихвеният процент по просрочени задължения да се основава на пределния лихвен процент по заеми на Европейската централна банка, към който да се добавят три процентни пункта.</w:t>
        <w:tab/>
        <w:br/>
        <w:tab/>
        <w:t xml:space="preserve">ПО ТЕЗИ ПРИЧИНИ СЪДЪТ, ЕДИНОДУШНО,</w:t>
        <w:tab/>
        <w:br/>
        <w:tab/>
        <w:t xml:space="preserve">Решава да обедини заявленията;</w:t>
        <w:tab/>
        <w:br/>
        <w:tab/>
        <w:t xml:space="preserve">Обявява за допустими оплакванията относно незадоволителните условия на задържане, както е посочено в приложената таблица, а останалата част от заявленията за недопустими;</w:t>
        <w:tab/>
        <w:br/>
        <w:tab/>
        <w:t xml:space="preserve">Приема, че тези оплаквания разкриват нарушение на член 3 от Конвенцията относно незадоволителните условия на задържане за периодите, посочени в приложената по-долу таблица;</w:t>
        <w:tab/>
        <w:br/>
        <w:tab/>
        <w:t xml:space="preserve">Приема</w:t>
        <w:tab/>
        <w:br/>
        <w:tab/>
        <w:t xml:space="preserve">че държавата ответник следва да заплати на жалбоподателите, в срок от три месеца, сумите, посочени в приложената таблица, които да бъдат конвертирани във валутата на държавата ответник по курса, приложим към датата на уреждане;</w:t>
        <w:tab/>
        <w:br/>
        <w:tab/>
        <w:t xml:space="preserve">че от изтичането на горепосочените три месеца до уреждането на тези суми ще се начислява проста лихва в размер, равен на пределния лихвен процент по заеми на Европейската централна банка през периода на забава плюс три процентни пункта.</w:t>
        <w:tab/>
        <w:br/>
        <w:tab/>
        <w:t xml:space="preserve">Изготвено на английски език и нотифицирано писмено на 28 октомври 2021 г. съгласно правило 77, §§ 2 и 3 от Правилника на Съда.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