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№174/19.03.2019 по търг. д. №2041/2018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174София, 19.03.2019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шести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2041/2018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съвместна касационна жалба на „АБЦ Инженеринг“ ООД, Д. Д. Г. и П. Л. П. срещу решение № 653 от 19.03.2018 г. по т. д. № 3666/2017 г. на Софийски апелативен съд, с което е потвърдено решение № 489 от 09.03.2017 г. по т. д. № 3901/2016 г. на Софийски градски съд, VІ-23 състав. С първоинстанционния акт са отхвърлени предявените от касаторите срещу „Б. П. Б“ АД обективно и субективно съединени искове с правно основание чл. 26, ал. 1 ЗЗД за обявяване за нищожни клаузите на чл. 5, ал. 1 и чл. 7, ал. 1 от договор за кредит № 481 от 25.04.2008 г. като неравноправни, противоречащи на закона и на добрите нрави и искове с правно основание чл. 55, ал. 1 ЗЗД за заплащане на сумата 183 937.61 лева, равностойност на 94 045.81 евро, представляваща недължимо платени лихви поради това, че не са уговорени в договора за кредит, евентуално – поради това, че са изчислени неправилно.</w:t>
        <w:tab/>
        <w:br/>
        <w:tab/>
        <w:t xml:space="preserve"> </w:t>
        <w:tab/>
        <w:br/>
        <w:tab/>
        <w:t xml:space="preserve">В касационната жалба се поддържа, че обжалваното решение е неправилно на всички основания, предвидени в чл. 281, т. 3 ГПК. Изразено е несъгласие с извода на съда, че атакуваните клаузи от процесния договор за банков кредит, касаещи определянето на дължимата лихва, не са нищожни. Развити са подробни съображения в подкрепа на застъпваната пред инстанциите по същество теза, че в случая лихвата е определена, без в договора да е налице ясно и конкретно разписан метод за изчисляването й, което е в противоречие с чл. 58 ЗКИ и с добросъвестността. Касаторите релевират изрично оплакване и срещу необсъждането на възраженията им във връзка с чл. 143 З. и Директива 93/13/Е. с твърдението за приложимост на посочените актове към процесния договор за кредит поради обстоятелството, че двама от тях са физически лица и не са сключили договора във връзка с осъществяваната от дружеството търговска дейност. Освен това, считат, че в изготвения от първоинстанционния съд доклад по чл. 146 ГПК не им е указана необходимостта от ангажирането на доказателства за посоченото обстоятелство.</w:t>
        <w:tab/>
        <w:br/>
        <w:tab/>
        <w:t xml:space="preserve"> </w:t>
        <w:tab/>
        <w:br/>
        <w:tab/>
        <w:t xml:space="preserve">Като значими за спора, с поддържане на основанията по чл. 280, ал. 1, т. 1 и т. 3 ГПК, в изложението по чл. 284, ал. 3, т. 1 ГПК са поставени въпросите: „1. Допустимо ли е лихвен процент по договор за банков кредит да се определя при липса на метод за неговото определяне в договора за кредит; 2. Допустимо ли е тълкуването на договорни клаузи по реда на чл. 20 ЗЗД, касаещи начин на формиране на лихвен процент по договор за кредит и компоненти, които участват при образуването и представлява ли този въпрос основен предмет на договора; 3. Задължена ли е банката да предоставя безплатно и в писмена форма на клиента своите условия по кредитите, които съдържат най-малко лихвеният процент, изразен като годишен лихвен процент, метода за изчисляване на лихвата, както и условията, при които може да се променя лихвата до пълното погасяване на кредита независимо от качеството на кредитополучателя и солидарните длъжници – физически и юридически лица; 4. Задължението по чл. 58, ал. 1, т. 2 ЗКИ приложимо ли е при договори за банков кредит с кредитополучател - юридическо лице и солидарни длъжници - физически лица и следва ли по ясен и разбираем начин да е посочен методът за изчисляване на лихвата, изчерпателно посочване на компонентите, които участват при формиране на лихвата, както и условията, при които може да се променя лихвата до пълното погасяване на кредита в договора за кредит; 5. При сключен договор за банков кредит какви са критериите за преценка наличието или липсата на еквивалентност на престациите; Какви са критериите за определяне на наличие на значителна нееквивалентност на престациите, като основание за нарушение на добрите нрави; 6. Какви са критериите за наличие на абсолютна неравностойност на уговорените престации и липсата на нееквивалентност; 7. При сключен договор за банков кредит с едноличен търговец следва ли да са описани ясно и конкретно всички данни за общите разходи по кредита и обективните критерии, въз основа на които тези разходи могат да се изменят, лихвеният процент и метода на изчисляването му, допълнителните задължения и разходи, съобразно разпоредбата на чл. 58 ЗКИ; 8. Подлежи ли на пълно и главно доказване фактът дали действат в рамките на своята търговска дейност физическите лица - съдлъжници по договор за банков кредит с кредитополучател юридическо лице, както и функционалната им свързаност с търговското дружество, съответно следва ли съдът да разпредели доказателствената тежест в тази насока и в чия доказателствена тежест е този факт“.</w:t>
        <w:tab/>
        <w:br/>
        <w:tab/>
        <w:t xml:space="preserve"> </w:t>
        <w:tab/>
        <w:br/>
        <w:tab/>
        <w:t xml:space="preserve"> В подкрепа на заявеното основание по чл. 280, ал. 1, т. 1 ГПК касаторите се позовават на постановени по реда на чл. 290 ГПК решения – решение № 95 от 13.09.2016 г. по т. д. № 240/2015 г. на ІІ т. о. и решение № 205 от 07.11.2016 г. по т. д. № 154/2016 г. на І т. о.</w:t>
        <w:tab/>
        <w:br/>
        <w:tab/>
        <w:t xml:space="preserve"> </w:t>
        <w:tab/>
        <w:br/>
        <w:tab/>
        <w:t xml:space="preserve">Ответникът по касация – „Б. П. Б“ АД, [населено място] – моли за недопускане на касационното обжалване, респ. за оставяне на жалбата без уважение, по съображения в писмен отговор от 07.08.2018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преклузивния срок по чл. 283 ГПК, от надлежни страни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За да потвърди първоинстанционното решение, с което са отхвърлени предявените от „АБЦ Инженеринг“ ООД, Д. Д. Г. и П. Л. П. срещу „Б. П. Б“ АД обективно и субективно съединени искове по иск по чл. 26, ал. 1 ЗЗД въззивният съд изцяло е споделил изводите, че оспорените клаузи на чл. 5, ал. 1 и чл. 7, ал. 1 от сключения между страните договор за банков кредит за оборотни средства не са нищожни.</w:t>
        <w:tab/>
        <w:br/>
        <w:tab/>
        <w:t xml:space="preserve"> </w:t>
        <w:tab/>
        <w:br/>
        <w:tab/>
        <w:t xml:space="preserve">На първо място, съдебният състав е приел, че в случая не следва да бъде извършвана преценка за неравноправност на клаузите съобразно ЗЗП (ЗАКОН ЗА ЗАЩИТА НА ПОТРЕБИТЕЛИТЕ), тъй като същият е неприложим към отношенията между страните, доколкото процесният договор за кредит е сключен между ответната банка и ищцовото дружество с цел финансиране на търговската му дейност, а физическите лица, обезпечили погасяването на кредита, са функционално свързани с търговското дружество (двамата са съдружници, а единият от тях е и управител). В тази връзка въззивният съд се е позовал на формираната по реда на чл. 290 ГПК практика на ВКС, обективирана в решение № 84 от 07.02.2017 г. по т. д. № 1934/2015 г. на І т. о. и решение № 38 от 23.06.2017 г. по т. д. № 2754/2015 г. на І т. о., според която обезпечението на дълг на търговско дружество от физическо лице, вкл. когато последното е съдлъжник, не може да се приеме като дадено за цел извън и независимо от всяка търговска дейност или професия, ако това физическо лице има тесни професионални (функционални) връзки с дружеството, като например неговото управление или дялово участие в същото. Преценявайки конкретните обстоятелства в случая, а именно – участието на двете физически лица в капитала на дружеството-кредитополучател, а на едното от тях и в управлението му, решаващият състав е счел, че не може да се приеме, че задължаването им по процесния кредит е извършено за цели извън и независимо от търговската дейност на кредитополучателя, поради което е направил извод, че ищците-физически лица нямат качеството на потребител по смисъла на § 13, т. 1 от ДР на З. и затова не се ползват от установената в него закрила.</w:t>
        <w:tab/>
        <w:br/>
        <w:tab/>
        <w:t xml:space="preserve"> </w:t>
        <w:tab/>
        <w:br/>
        <w:tab/>
        <w:t xml:space="preserve">На второ място, като неоснователно въззивният съд е счел и възражението за противоречие на спорните клаузи от договора за кредит със закона (чл. 58, ал. 1, т. 2 ЗКИ), доколкото са изпълнени предвидените в него изисквания – в договора е посочен размерът на лихвата, определен чрез меродавния за банката към момента на сключването му базисен лихвен процент, както и надбавката към него; редът за промяната е уговорен в приложимите към договора Общи условия, които ищците са удостоверили, че са получили както при сключването на самия договор за кредит, така и при подписване на анексите към него. Освен това, съдебният състав е посочил, че начинът на определяне и промяна на договорната лихва, в частност на базисния банков лихвен процент, са разписани в Лихвената методология, към която препращат Общите условия на банката-кредитор и че в качеството си на търговец, дружеството-кредитополучател е било длъжно, с оглед чл. 302 ТЗ, да се запознае с Общите условия и Лихвената методология. Тълкувайки клаузата на чл. 5, ал. 1 от договора, с оглед смисъла, произтичащ от целия договор, неговата цел, добросъвестността, лоялните практики при предоставянето на ипотечни кредити и разпределението на риска, съдът е приел, че общата воля на страните е била лихвата да е променлива величина, зависеща от два компонента – базисен банков лихвен процент и надбавка от 3.5 %.</w:t>
        <w:tab/>
        <w:br/>
        <w:tab/>
        <w:t xml:space="preserve"> </w:t>
        <w:tab/>
        <w:br/>
        <w:tab/>
        <w:t xml:space="preserve">На трето място, не е споделен и доводът, че оспорените две клаузи от процесния договор за кредит са нищожни като накърняващи добрите нрави поради несъответствие (неравностойност) на насрещните престации на страните. Въззивният съд е счел, че в случая липсват твърдения и данни по делото за абсолютна неравностойност на уговорените престации, която да обуслови извод за тяхната нееквивалентност и че простото съпоставяне на размера на платената лихва не установява наличието на такава.</w:t>
        <w:tab/>
        <w:br/>
        <w:tab/>
        <w:t xml:space="preserve"> </w:t>
        <w:tab/>
        <w:br/>
        <w:tab/>
        <w:t xml:space="preserve">С оглед неоснователността на исковете за нищожност на атакуваните договорни клаузи, решаващият състав е приел, че платените въз основа на тях лихви не са платени без правно основание. Отчитайки подписаните след сключване на договора за кредит множество анекси, в които страните са признали изрично задълженията си към банката, включително за възнаградителни и наказателни лихви (неустойки), въззивната инстанция е направила извод за неоснователност и на евентуалните претенции по чл. 55, ал. 1 ЗЗД за връщане на исковата сума поради неправилно изчисляване на лихвите.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Поставените от касатора въпроси не могат да бъдат определени като обусловили изхода на конкретното дело по смисъла на разясненията по т. 1 от Тълкувателно решение № 1 от 19.02.2010 г. на ОСГТК на ВКС, т. е. да са от значение за изхода на конкретното дело, за формиране решаващата воля на съда, но не и за възприемането на фактическата обстановка или за обсъждане на събраните по делото доказателства. </w:t>
        <w:tab/>
        <w:br/>
        <w:tab/>
        <w:t xml:space="preserve"> </w:t>
        <w:tab/>
        <w:br/>
        <w:tab/>
        <w:t xml:space="preserve">Първият от поставените въпроси не съответства на мотивите на обжалвания акт – въззивният съд е приел, че в случая не е налице „липса на метод за определяне на лихвения процент“, в какъвто смисъл е съдържащото се във въпроса твърдение, а че методът за определяне и промяна на лихвения процент се съдържа в Лихвената методология на банката, към която изрично препращат представляващите неразделна част от договора за кредит и получени от ищците Общи условия към него.</w:t>
        <w:tab/>
        <w:br/>
        <w:tab/>
        <w:t xml:space="preserve"> </w:t>
        <w:tab/>
        <w:br/>
        <w:tab/>
        <w:t xml:space="preserve">Въпросът за допустимостта да бъдат тълкувани договорни клаузи по реда на чл. 20 ЗЗД, касаещи начин на формиране на лихвен процент по договор за кредит (въпрос № 2), е изцяло относим към правилността на обжалваното решение. Освен това, отговорът на същия произтича от самия закон – доколкото не са изрично изключени от законодателя, правилата относно тълкуването следва да се считат приложими по отношение и на договорите за кредит, в т. ч. и на разпоредбите, касаещи лихвения процент.</w:t>
        <w:tab/>
        <w:br/>
        <w:tab/>
        <w:t xml:space="preserve"> </w:t>
        <w:tab/>
        <w:br/>
        <w:tab/>
        <w:t xml:space="preserve">Изцяло относими към правилността на въззивния акт са и въпроси № 3 и № 4, основани на твърдението на касаторите за допуснато нарушение на чл. 58, ал. 1, т. 2 ЗКИ поради липса на посочен в договора за кредит метод за определяне и промяна на лихвения процент. Независимо от това, следва обаче да се посочи, че по отношение на тези въпроси не може да се счете за осъществено и поддържаното основание по чл. 280, ал. 1, т. 1 ГПК, тъй като не е налице противоречие с цитираната практика на ВКС (макар касаторите да не са посочили конкретно, настоящият състав намира, че представените с изложението решения могат да бъдат отнесени единствено към тези два въпроса). Липсата на противоречие произтича от обстоятелството, че в посочените съдебни актове преценката за спазването на изискванията по чл. 58, ал. 1, т. 2 ЗКИ е извършена от гледна точка специфичните предпоставки на чл. 143 З. за неравноправност на договорните клаузи, която в случая е ирелевантна поради неприложимостта на този закон. </w:t>
        <w:tab/>
        <w:br/>
        <w:tab/>
        <w:t xml:space="preserve"> </w:t>
        <w:tab/>
        <w:br/>
        <w:tab/>
        <w:t xml:space="preserve">Въпросите относно критериите, въз основа на които съдът преценява липсата на еквивалентност на престациите като основание за накърняване на добрите нрави при договорите за кредит, водещи до нищожност (въпроси № 5 и № 6), са такива, чиито отговор е предпоставен от конкретните факти по делото, поради което същите не могат да бъдат определени като обуславящи за допускане на касационното обжалване, а са такива, относими към правилността на изводите, до които е достигнал въззивният съд.</w:t>
        <w:tab/>
        <w:br/>
        <w:tab/>
        <w:t xml:space="preserve"> </w:t>
        <w:tab/>
        <w:br/>
        <w:tab/>
        <w:t xml:space="preserve">Що се отнася до последните два въпроса, отсъствието на общата предпоставка по чл. 280, ал. 1 ГПК се дължи на обстоятелството, че: въпрос № 7 е поставен във връзка с договор за кредит, сключен от едноличен търговец (каквото качество нито един от ищците не притежава), а въпрос № 8, свързан с разпределението на доказателствената тежест за установяване липсата на функционална обвързаност между обезпечилите банковия кредит физически лица с търговското дружество-кредитополучател, не е бил заявен като спорен по делото, доколкото въззивната жалба не съдържа оплаквания досежно изготвения от първата инстанция доклад по делото и разпределената в него доказателствена тежест между страните.</w:t>
        <w:tab/>
        <w:br/>
        <w:tab/>
        <w:t xml:space="preserve"> </w:t>
        <w:tab/>
        <w:br/>
        <w:tab/>
        <w:t xml:space="preserve"> Освен, че не е изпълнено общото изискване за значимост на поставените въпроси за изхода на делото, касационното обжалване не би могло да бъде допуснато и на поддържаното по отношение на тях основание по чл. 280, ал. 1, т. 3 ГПК. Съгласно указанията по т. 4 от цитираното тълкувателно решение, точното прилагане на закона и развитието на правото формират общо основание, като задължение на касатора е да аргументира наличието на тези две кумулативно предвидени предпоставки. В случая, това задължение не е изпълнено, доколкото в изложението по чл. 284, ал. 3, т. 1 ГПК касаторите са заявили посоченото основание само бланкетно, като твърдението им за липса на формирана практика на касационната инстанция не може да се счете за надлежно аргументиране на същото.</w:t>
        <w:tab/>
        <w:br/>
        <w:tab/>
        <w:t xml:space="preserve"> </w:t>
        <w:tab/>
        <w:br/>
        <w:tab/>
        <w:t xml:space="preserve">Поради изложените съображения настоящият състав намира, че депозираната от тримата касатори жалба не следва да бъде допусната до разглеждане.</w:t>
        <w:tab/>
        <w:br/>
        <w:tab/>
        <w:t xml:space="preserve"> </w:t>
        <w:tab/>
        <w:br/>
        <w:tab/>
        <w:t xml:space="preserve">Независимо от този изход на делото, искането на ответника по касация за присъждане на разноски не може да бъде уважено поради липсата на доказателства за извършването на такива.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653 от 19.03.2018 г. по т. д. № 3666/2017 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