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№696/20.11.2020 по гр. д. №2468/2020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696</w:t>
        <w:tab/>
        <w:br/>
        <w:tab/>
        <w:t xml:space="preserve"> </w:t>
        <w:tab/>
        <w:br/>
        <w:tab/>
        <w:t xml:space="preserve">гр. София, 20.11.2020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шестнадесети ноември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Б. С</w:t>
        <w:tab/>
        <w:br/>
        <w:tab/>
        <w:t xml:space="preserve"> </w:t>
        <w:tab/>
        <w:br/>
        <w:tab/>
        <w:t xml:space="preserve"> ЧЛЕНОВЕ: 1. В. П </w:t>
        <w:tab/>
        <w:br/>
        <w:tab/>
        <w:t xml:space="preserve"> </w:t>
        <w:tab/>
        <w:br/>
        <w:tab/>
        <w:t xml:space="preserve"> 2. Е. В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2468 по описа за 2020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И. Р. Ф. против решение №67/26.03.2020 г., постановено по гр. д.№ 270/2020 г. от състав на Окръжен съд – Кърджали.</w:t>
        <w:tab/>
        <w:br/>
        <w:tab/>
        <w:t xml:space="preserve"> </w:t>
        <w:tab/>
        <w:br/>
        <w:tab/>
        <w:t xml:space="preserve"> Ответникът оспорва касационната жалба, с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изменил постигнатите със споразумение в брачния процес и утвърдени с решение на съда мерки относно упражняването на родителските права по отношение на малолетното дете на страните по делото, предоставил е същите на майката, постановил е режим на лични отношения на детето с бащата и е определил размер на месечната издръжка, която последния следва да заплаща.</w:t>
        <w:tab/>
        <w:br/>
        <w:tab/>
        <w:t xml:space="preserve"> </w:t>
        <w:tab/>
        <w:br/>
        <w:tab/>
        <w:t xml:space="preserve"> В горната част, решението се обжалва с касационната жалба.</w:t>
        <w:tab/>
        <w:br/>
        <w:tab/>
        <w:t xml:space="preserve"> </w:t>
        <w:tab/>
        <w:br/>
        <w:tab/>
        <w:t xml:space="preserve"> Съдът е приел, че и двамата родители притежават необходимия родителски капацитет за отглеждането и възпитанието на детето, като е отчетено несъобразеното с интересите на детето решение на бащата да внесе коренна промяна в живота на детето, като се премести заедно с него да живее в друго населено място, без да се обсъди това решение с майката на детето. Отчетено е и укоримото поведение на майката, изразяващо се в несъобразяване с утвърденото от съда споразумение относно режима на упражняване на родителските права. </w:t>
        <w:tab/>
        <w:br/>
        <w:tab/>
        <w:t xml:space="preserve"> </w:t>
        <w:tab/>
        <w:br/>
        <w:tab/>
        <w:t xml:space="preserve"> С оглед настъпилите обстоятелства – живеенето към настоящия момент на детето при майката, положителната промяна в поведението на детето оттогава и експертните заключения в тази насока, съдът се е позовал изцяло на интереса на детето и запазването на съществуващото към настоящия момент фактическо положение, за да се опази психическото и емоционално здраве на детето, като в тази насока съдът е приел, че връщането на детето в друг град при баща му не е в негов интерес, напротив, детето ще бъде подложено на стрес.</w:t>
        <w:tab/>
        <w:br/>
        <w:tab/>
        <w:t xml:space="preserve"> </w:t>
        <w:tab/>
        <w:br/>
        <w:tab/>
        <w:t xml:space="preserve"> В изложението на касационните основания относно допустимостта на касационното обжалване се твърди, че съдът се е произнесъл по правни въпроси при наличието на предпоставките на чл. 280, ал. 1, т. 1 и т. 3 ГПК.</w:t>
        <w:tab/>
        <w:br/>
        <w:tab/>
        <w:t xml:space="preserve"> </w:t>
        <w:tab/>
        <w:br/>
        <w:tab/>
        <w:t xml:space="preserve"> Твърди се, че по въпросите, кога е налице промяна в обстоятелствата, налагащи изменение на мерките относно упражняването на родителски права, съвкупния анализ на обстоятелствата от значение за интереса на детето в тази насока, както и следва ли да се обсъдят критериите за това в съвкупност, съдът се е произнесъл в противоречие с практиката на ВКС. Цитираните съдебни решения, в т. ч. и на настоящия състав, са постановени при фактическа обстановка, различна от настоящата, като така поставени, правните въпроси до голяма степен зависят от установените факти по различните дела. В настоящия случай съдът е възприел фактическа обстановка, различна от тази по цитираните съдебни решения, поради което не е и налице соченото противоречие, като основното в този вид спорове е, че съдът е длъжен изцяло да съобрази решението по предоставяне за упражняване на родителските права с интереса на детето – въпрос, разрешен от въззивния съд изцяло в съответствие с практиката на ВКС. В този смисъл не е налице соченото противоречие.</w:t>
        <w:tab/>
        <w:br/>
        <w:tab/>
        <w:t xml:space="preserve"> </w:t>
        <w:tab/>
        <w:br/>
        <w:tab/>
        <w:t xml:space="preserve"> Правилата относно назначаване на вещи лица и преценката на експертните заключения са регламентирани в ГПК, като по тях съществува и трайна практика на ВКС, поради което поставените в тази насока правни въпроси в хипотезата на чл. 280, ал. 1, т. 3 ГПК са неотносими към настоящото производство.</w:t>
        <w:tab/>
        <w:br/>
        <w:tab/>
        <w:t xml:space="preserve"> </w:t>
        <w:tab/>
        <w:br/>
        <w:tab/>
        <w:t xml:space="preserve"> Предвид изложеното, касационното обжалване не следва да се допуска, като в полза на ответника по касационната жалба следва да се присъди сумата 700 /седемстотин/ лева, на основание чл. 78, ал. 3 ГПК.</w:t>
        <w:tab/>
        <w:br/>
        <w:tab/>
        <w:t xml:space="preserve"> </w:t>
        <w:tab/>
        <w:br/>
        <w:tab/>
        <w:t xml:space="preserve"> Водим от горното, състав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№67/26.03.2020 г., постановено по гр. д.№ 270/2020 г. от състав на Окръжен съд – Кърджали.</w:t>
        <w:tab/>
        <w:br/>
        <w:tab/>
        <w:t xml:space="preserve"> </w:t>
        <w:tab/>
        <w:br/>
        <w:tab/>
        <w:t xml:space="preserve"> ОСЪЖДА И. Р. Ф. да заплати на основание чл. 78, ал. 3 ГПК на Н. Р. Ф. сумата 700 /седемстотин/ лева, на основание чл. 78, ал. 3 ГПК.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