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№111/10.03.2021 по търг. д. №619/2020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111</w:t>
        <w:tab/>
        <w:br/>
        <w:tab/>
        <w:t xml:space="preserve"> </w:t>
        <w:tab/>
        <w:br/>
        <w:tab/>
        <w:t xml:space="preserve">София, 10.03.2021 година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на втори март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Ел.Чаначева ч. т. д. № 619/2020 година,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Сдружение „ Професионален футболен клуб Ботев“АД, [населено място] против определение №180 от 21.01.2020г. по т. д.2495/2019г. на Софийски апелативен съд. </w:t>
        <w:tab/>
        <w:br/>
        <w:tab/>
        <w:t xml:space="preserve"> </w:t>
        <w:tab/>
        <w:br/>
        <w:tab/>
        <w:t xml:space="preserve"> С молба вх. № 1072/09..02..2021г. адв. С. М. е заявил, че с решение от 15.01.2021г. по т. д. 1728/15г. на Софийски градски съд на основание чл. 632, ал. 4 ТЗ е прекратено производството по делото, а „Р. М“ АД / н/ е заличен от Търговския регистър при Агенция по вписванията. Решението като необжалвано е влязло в сила От датата на вписване на заличаването на дружеството в ТР-08.02.2021г.- следователно, същото е загубило своята правосубектност и възможността да бъде страна в процеса. Конститутивният ефект на заличаването предпоставя края на юридическото лице– аргумент на обратното основание – чл. 67 ТЗ, а съгласно чл. 26 ГПК същият вече, по тази причина, не може да бъде и надлежна страна в процеса, тъй като правосубектността е процесуална предпоставка от кръга на абсолютните, а загубата й по време на висящия исков процес има за правна последица прекратяване на производството пред съответната инстанция.</w:t>
        <w:tab/>
        <w:br/>
        <w:tab/>
        <w:t xml:space="preserve"> </w:t>
        <w:tab/>
        <w:br/>
        <w:tab/>
        <w:t xml:space="preserve">Предвид изложеното производството по частната жалба следва да бъде прекратено.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ПРЕКРАТЯВА производството по ч. т. д.619/20 по описа на Върховен касационен съд, първо търговско отделение. 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Върховния касационен съд, Търговска колегия в седмичен срок от съобщенията до страните, че е постановено.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