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№1022/02.07.2019 по адм. д. №899/2019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Административнопроцесулания кодекс (АПК). </w:t>
        <w:tab/>
        <w:br/>
        <w:tab/>
        <w:t xml:space="preserve">Образувано е по касационна жалба на община С. срещу решение № 2423/21.11.2018 година на Административен съд гр. П. по адм. д. № 2664/2018 година, с което съдът е отхвърлил жалбата й срещу решение № РД - 02 – 36 – 902 от 31.07.2018 година на заместник-министър и ръководител на Управляващия орган по оперативна програма „ Региони в растеж“ 2014 – 2020 година.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Отрича чрез поставянето на заложените критерии за подбор по т. 3.3.2.2.2. и т. 3.3.2.2.3 в документацията за участие по поръчката, а именно по отношение на инженерно-техническия екип в частта относно „специалист по контрол на качеството“ и „специалист по здравословни и безопасни условия на труд“ - изискване да са строителни инженери или строителни техници, да е нарушена разпоредбата на чл. 2, ал. 2 от ЗОП (ЗАКОН ЗА ОБЩЕСТВЕНИТЕ ПОРЪЧКИ) (ЗОП). Сочи, че съгласно тази разпоредба, не е достатъчно спрямо участниците да е поставено ограничително изискване, а било необходимо то да е необосновано, както и да не е свързано с предмета и характеристиките на обществената поръчка. Възложителят разполагал с оперативна самостоятелност да определи критериите за подбор спрямо участниците, като поставя спрямо тях специфични изисквания, необходими за качествено, срочно и безопасно изпълнение на поръчката. В случая поставените критерии за подбор били свързани с предмета, спецификата и сложността на поръчката. Поставените изисквания били свързани с желанието на възложителя да гарантира по-висок контрол на качеството и здравословните и безопасни условия на труд. На следващо място сочи, че участниците в процедурата не били ограничени, тъй като изискванията били поставени не към тях, а към екипа им от експерти. Обжалвания административен акт, чрез който се определяла финансова корекция нямал правна квалификация, като не посочвал на какво правно основание и определена същата. Липсвал вредоносен резултат от деянието, както и причинна връзка между деянието и резултата.Прави искане за отмяна на обжалваното съдебно решение и постановяване на друго, с което да се отмени като незаконосъобразно решение № РД - 02 – 36 – 902 от 31.07.2018 година на заместник-министър и ръководител на Управляващия орган по оперативна програма „ Региони в растеж“ 2014 – 2020 година. </w:t>
        <w:tab/>
        <w:br/>
        <w:tab/>
        <w:t xml:space="preserve">Ответникът по касационната жалба, заместник-министър и ръководител на Управляващия орган по оперативна програма „ Региони в растеж“ 2014 – 2020 година, в писмен отговор на касационната жалба, излага съображения за неоснователност. </w:t>
        <w:tab/>
        <w:br/>
        <w:tab/>
        <w:t xml:space="preserve">Представителят на Върховна административна прокуратура прави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срещу съдебен акт по чл. 208 АПК. </w:t>
        <w:tab/>
        <w:br/>
        <w:tab/>
        <w:t xml:space="preserve">При служебна проверка на основанията по чл. 218, ал. 2 АПК, съдът мотивира валидност и допустимост на обжалваното съдебно решение. </w:t>
        <w:tab/>
        <w:br/>
        <w:tab/>
        <w:t xml:space="preserve">По наведените от касатора възражения за допуснати от първоинстанционния съд съществени процесуални нарушения: касаторът твърди, че първоинстанционният съд не обсъдил всички възражения на община С., като по този начин не осъществил цялостен контрол съгласно изискванията на чл. 168, ал. 1 АПК. Касационната инстанция не споделя това възражение: Първоинстанционният съд е извършил контрол за законосъобразност върху оспорения акт на всички основания по чл. 146 АПК, като възраженията на общината са обсъдени като неоснователни. </w:t>
        <w:tab/>
        <w:br/>
        <w:tab/>
        <w:t xml:space="preserve">Досежно материалната законосъобразност на обжалваното съдебно решение: </w:t>
        <w:tab/>
        <w:br/>
        <w:tab/>
        <w:t xml:space="preserve">Предмет на съдебен контрол за законосъобразност пред Административен съд гр. П. е решение № РД - 02 – 36 – 902 от 31.07.2018 година на заместник-министър и ръководител на Управляващия орган по оперативна програма „ Региони в растеж“ 2014 – 2020 година. Със същото (л. 17-50 от делото) е приключен сигнал за нередност с рег.№ 390 и на О. С е определена финансова корекция в размер на 5% от допустимите разходи по засегнатия от нарушението договор № BG16RFOP001-2.001-0054-C01-S-02 от 03.07.2017 година с изпълнител „Интегрирани строителни Системи“ ЕООД. Констатирани са две нарушения на ЗОП, квалифицирани като нарушения на чл. 2, ал. 2 от ЗОП, представляващи нередности по т. 9 от Приложение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Нарушенията са осъществени чрез поставяне на критерии за подбор по т. 3.3.2.2.2. и т. 3.3.2.2.3 в документацията за участие по поръчката, а именно по отношение на инженерно-техническия екип в частта относно „специалист по контрол на качеството“ и „специалист по здравословни и безопасни условия на труд“ е поставено изискване да са строителни инженери или строителни техници. </w:t>
        <w:tab/>
        <w:br/>
        <w:tab/>
        <w:t xml:space="preserve">За да отхвърли жалбата срещу решението, първоинстанционният съд е приел, че обжалваният акт с правна квалификация чл. 73, ал. 1 ЗУСЕСИФ е издаден от компетентен орган и във валидна писмена форма, при спазване на процедурата по издаването му, правилно приложение на материалния закон и в съответствие с целта на закона.Решението е правилно. </w:t>
        <w:tab/>
        <w:br/>
        <w:tab/>
        <w:t xml:space="preserve">Страните не спорят по фактите, поради което и същите не следва да бъдат пренасяни в тяхната цялост в текста на касационното решение. </w:t>
        <w:tab/>
        <w:br/>
        <w:tab/>
        <w:t xml:space="preserve">Спорът е относно съставомерността на нарушенията по посочените квалификации, изпълнението на задължението на органа/съответно съда да обсъди възраженията на бенефициера, както и квалифицирането на нарушенията като нередности по чл. 2, т. 36 от Регламент № 1303/2013 на Европейския парламент и на Съвета от 17 декември 2013 г. предвид наличието или липсата на всички елементи от фактическия състав на нередността, особено във връзка с финансовото отражение на нарушението върху бюджета на общността. </w:t>
        <w:tab/>
        <w:br/>
        <w:tab/>
        <w:t xml:space="preserve">Страните не спорят относно компетентността на органа определил финансовата корекция: При служебна проверка на основание чл. 218, ал. 2 АПК, касационната инстанция приема за правилен извода на първоинстанционния съд за компетентност на органа определил финансовата корекция. Обжалваното пред първоинстанционния съд решение е подписано от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За да обоснове извод за компетентност на органа да издаде акт с правна квалификация чл. 73, ал. 1 ЗУСЕСИФ, първоинстанционният съд е направил съответстващи на доказателствата и правилното приложение на закона изводи. Оперативна програма „Региони в растеж" 2014-2020 г. се финансира от Европейския съюз чрез средствата от Европейския фонд за регионално развитие и от държавния бюджет на Р. Б, които средства се считат за средства от Европейските структурни и инвестиционни фондове (наричани по-нататък „ЕСИФ") по смисъла на чл. 1, ал. 2 от ЗУСЕСИФ. Средствата от Европейския фонд за регионално развитие се управляват от ръководителя на Управляващия орган на Оперативна програма „Региони в растеж" 2014-2020 г. (по аргумент от чл 9, ал. 1 от ЗУСЕСИФ във връзка с Устройствен правилник на Министерството на регионалното развитие и благоустройството) - в настоящия случай това е министърът на регионалното развитие и благоустройството. Съгласно чл. 9, ал. 5 от ЗУСЕСИФ във връзка с приложените по делото пред административния съд Заповед № РД-02-36-902/25.08.2017 г. /л. 169/, изменена със Заповед № РД-02-36-1118/12.10.2017 г. /л. 172/ и Заповед № ЛД – 02 – 36 – 27/15. 01.2018 година /л. 173/, ръководителят на Управляващия орган на Оперативна програма „Региони в растеж" 2014-2020 г. е Д.Н, на която е делегирана компетентност от министъра на регионалното развитие и благоустройството и която има права да издава административни актове по ЗУСЕСИФ, включително актове за определяне на финансови корекции по основание и размер. </w:t>
        <w:tab/>
        <w:br/>
        <w:tab/>
        <w:t xml:space="preserve">Относно формата на обжалвания пред Административен съд гр. П. акт: Касационната инстанция споделя изводите на първоинстанционния съд за валидността на формата на оспорения акт. Противно на твърденията на касатора, касационната инстанция прави извод за мотивираност на обжалваното решение на ръководителя на УО. Обсъдени са всички възражения на община С., като актът съдържа подробни фактически основания, както и правни основания за издаването му; подписан е от издателя си, като е изведен с номера и дата през деловодната система на администрацията при органа. </w:t>
        <w:tab/>
        <w:br/>
        <w:tab/>
        <w:t xml:space="preserve">Относно спазване на процедурата по издаване на акта: Административното производство по администриране на нередност съгласно чл. 69, ал. 2 от ЗУСЕСИФ е започнало по сигнал за нередност № 390. Сигналът е входиран в Министерство на регионалното развитие и благоустройството и регистриран в регистъра на сигнали и нередности в Главна дирекция „Стратегическо планиране и програми за регионално развитие“, МРРБ. При спазване на изискването на чл. 73, ал. 2 от ЗУСЕСИФ административният орган е изпратил писмо с изх. № 99-00-6-560/2/31.05.2018 г. / л. 68 по делото пред АС/ и е поискал писмени обяснения от община С. относно констатираните нарушения, описани в сигнала. Предоставен е двуседмичен срок, в който бенефициерът да изложи възражения и писмени доказателства във връзка с нередностите. Възраженията на общината са получени от административния орган и са входирани под № 99-00-6-560/4/13.06.2018г. в деловодството на Министерство на регионалното развитие и благоустройството /л. 75 от делото на Административен съд гр. П./. Обжалваното решение с правна квалификация чл. 73, ал. 1 ЗУСЕСИФ съдържа подробно обсъждане на възраженията на общината, поради което и касационната инстанция не споделя становището на касатора за нарушение на чл. 73, ал. 3 ЗУСЕСИФ, в каквато насока е и изводът на първоинстанционния съд. </w:t>
        <w:tab/>
        <w:br/>
        <w:tab/>
        <w:t xml:space="preserve">Относно материалната законосъобразност на обжалваното решение за определяне на финансова корекция: </w:t>
        <w:tab/>
        <w:br/>
        <w:tab/>
        <w:t xml:space="preserve">Съставът на ВАС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 1303/2013 година: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В действителност, безспорен е фактът, че община С. е икономически оператор предвид дефиницията в чл. 2, т. 37 от Регламент № 1303/2013 г. </w:t>
        <w:tab/>
        <w:br/>
        <w:tab/>
        <w:t xml:space="preserve">По отношение на констатираните от ръководителя на УО нарушения, страните не спорят, че община С. в документацията по обществената поръчка с предмет: „Строително-монтажни работи за прилагане на мерки за енергийна ефективност на обект „ЦДГ Детелина“ гр. С.“ е поставила критерии за подбор по т. 3.3.2.2.2. и т. 3.3.2.2.3, а именно по отношение на инженерно-техническия екип в частта относно „специалист по контрол на качеството“ и „специалист по здравословни и безопасни условия на труд“ е поставила изискване същите да са строителни инженери или строителни техници. </w:t>
        <w:tab/>
        <w:br/>
        <w:tab/>
        <w:t xml:space="preserve">По отношение на тези критерии за подбор, първоинстанционният съд изцяло е споделил съображенията на ръководителя на управляващия орган, като изводите му са правилни както от фактическа, така и от правна страна: </w:t>
        <w:tab/>
        <w:br/>
        <w:tab/>
        <w:t xml:space="preserve">Спорът пред касационната инстанция е досежно правилността на извода на АС гр. П., че така поставените критерии за подбор представляват нарушения на чл. 2, ал. 2 ЗОП и съответно дали са нередности по т. 9 към Приложение №1, към чл. 2, ал. 1 от Наредба за посочване на нередности, представляващи основание за извършване на финансови корекции и процентните показатели за определяне на размера на финансовите корекции по реда на ЗУСЕСИФ, приета с ПМС № 57 от 28.03.2017 година. </w:t>
        <w:tab/>
        <w:br/>
        <w:tab/>
        <w:t xml:space="preserve">Според касационната инстанция първоинстанционният съд правилно е приел, че така поставените изисквания представлява нарушения на чл. 2, ал 2 ЗОП и съответно същите имат характер на нередности по т. 9 от Раздел 1 към Приложение № 1, към чл. 2, ал. 1 от Наредбата. </w:t>
        <w:tab/>
        <w:br/>
        <w:tab/>
        <w:t xml:space="preserve">Съгласно нормата на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конкретната хипотеза поставените изисквания са възприети от ръководителя на УО като необосновано ограничаващи участието на лица в обществената поръчка. </w:t>
        <w:tab/>
        <w:br/>
        <w:tab/>
        <w:t xml:space="preserve">Касационната инстанция не споделя възражението на касатора, че определянето на квалификацията на експертите попада в оперативната самостоятелност на възложителя и тя следва да е завишена като изискване, за да се постигне реално и качествено изпълнение на поръчката. Подобно тълкуване на нормите на ЗОП е неправилно. Като се позовава на разпоредбата на чл. 63, ал. 1 ЗОП, касаторът заявява, че като диспозитивна, същата давала оперативна самостоятелност на възложителя да постави изисквания за технически и професионални способности на участниците по свое усмотрение. Поставеното изискване било свързано с предмета на поръчката, като не било ограничително, доколкото възложителят следвало да си гарантира качественото й изпълнение. Като тълкува нормата на чл. 2, ал. 2 ЗОП касаторът заявява, че само изискванията, които дават необосновано предимство или необосновано ограничават участието на стопанските субекти в обществените поръчки ограничават конкуренцията. В случая обосноваността произтичала от предмета на поръчката, спецификите на изпълнението и нуждите на възложителя. Възражението е неоснователно: 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действителност, за да съществува нарушение на посочената разпоредба в изписанато предложение,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Касаторът твърди, че ограничението в случая се налага от спецификата на поръчката. Касационната инстанция приема възражението само доколкото поставеното изискване за посочените експерти е въведено предвид спецификата на поръчката, но не е в частта относно изискването за специално посочено образование на тези лица. </w:t>
        <w:tab/>
        <w:br/>
        <w:tab/>
        <w:t xml:space="preserve">Без да изписва повторно позоваването на специалните нормативи, касационната инстанция приема становището на ръководителя на УО, споделено и от съда за липса на нормативно поставено изискване за образователна степен на горепосочените специалисти от екипа. </w:t>
        <w:tab/>
        <w:br/>
        <w:tab/>
        <w:t xml:space="preserve">Възложителят неправилно тълкува нормата на чл. 63, ал. 1 ЗОП. Съгласно същата,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Използваният глагол „може“ не обосновава извод за неограничени възможности на възложителя. Съгласно чл. 59, ал. 2 ЗОП, която норма е относима към всички критерии за подбор,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Т.е. критериите за подбор, които възложителят може да залага са само от заложените такива в ЗОП и то само тези от тях, които са необходими, за да се изпълни конкретната поръчка и са свързани с нейния предмет. Чл. 63 ЗОП посочва, кои са критериите за подбор, които възложителите могат да залагат, когато установяват технически и професионални способности на участниците. Професионалната квалификация и опита обаче не трябва да се смесват с необходимата за изпълнение на длъжността образователна степен. Последната е нормативно регламентирана и залагането от възложителя на образователна степен, която не се изисква от Закон за упражняване на длъжността е ограничително. Качеството на изпълнението на поръчката не може да представлява обосновка за това залагане, тъй като същото се постига чрез въвеждане на критерии, които да установят опит. </w:t>
        <w:tab/>
        <w:br/>
        <w:tab/>
        <w:t xml:space="preserve">В контекста на касационните възражения, съдебният състав на ВАС приема, че сложността и обема на поръчката предполагат евентуално завишени изисквания за опит, но не и за по-висок ценз или степен на квалификация. Степента на квалификация или образователен ценз за изпълнение на определа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 Ограничението безспорно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посочените експерти, не изпълняват поставените от възложителя изисквания. </w:t>
        <w:tab/>
        <w:br/>
        <w:tab/>
        <w:t xml:space="preserve">Правилен е изводът на АС гр. П., че в случая и двете нарушения имат финансово отражение върху бюджета на общността. Без да повтаря съображенията на съда, споделящ мотивите на органа, касационната инстанция припомня, че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w:t>
        <w:tab/>
        <w:br/>
        <w:tab/>
        <w:t xml:space="preserve">В случаите на нередности по чл. 70, ал. 1, т. 10 ЗУСЕСИФ, попадащи в Приложение №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Въведените ограничителни критерии за подбор имат възпиращ ефект по отношение на евентуалните участници, като засягат бюджета на общността доколкото представлява пречка за избор на изпълнител предложил максимално качествена оферта. </w:t>
        <w:tab/>
        <w:br/>
        <w:tab/>
        <w:t xml:space="preserve">По отношение на правната квалификации на нередностите и размера на финансовата корекця: </w:t>
        <w:tab/>
        <w:br/>
        <w:tab/>
        <w:t xml:space="preserve">Касационната инстанция споделя извода на първоинстанционния съд, че двете установени нарушения представляват нередност по т. 9 от Приложение № 1 към НОФК.Нтелно е възражението на касатора за неправилност на квалификацията на нередността: т. 10 от Приложение № 1 към НОФК се прилага в случаите, в които критериите за подбор не са свързани с предмета на поръчката или са му непропорционални. В конкретната хипотеза критериите за подбор са свързани с предмета на поръчката, но се явяват ограничителни /и поради това незаконосъобразни/, доколкото въвеждат завишено изискване за образователен ценз и квалификация, несъответстващо на нормативно заложеното такова за изпълнение на длъжността, което не допринася за качеството на изпълнение. </w:t>
        <w:tab/>
        <w:br/>
        <w:tab/>
        <w:t xml:space="preserve">Основата, върху която се изчислява размерът на финансовата корекция за всяко едно от двете нарушения по т. 9 от Приложение № 1 от НОФК, са допустимите разходи по договора за обществена поръчка, представляващи средства от ЕСИФ. Съгласно чл. 2.1. от Административния договор на л. 118 по делото, помощта със средства от ЕСИФ е 100 %. </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тази разпоредба спрямо двете нарушения органът съответно на фактите по спора и посочените параметри е определил за всяка от нередностите 5% финансова корекция, като при спазване на принципа за некумулиране на същите е наложил една ФК в размер на 5% върху допустимите средства от ЕСИФ по сключения договор за обществена поръчка. </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от средствата от ЕСИФ, който е неправомерно разходван. </w:t>
        <w:tab/>
        <w:br/>
        <w:tab/>
        <w:t xml:space="preserve">За пълнота на изложението касационната инстанция намира за необходимо да обърне внимание на АС гр. П., че в случая не се касае за въвеждане на критерий за подбор извън допустимите по смисъла на ЗОП. Напротив, критериите за подбор са допустими, но поставеното изискване за завишен образователен ценз към двама от експертите от инженерно-техническия екип е ограничително. </w:t>
        <w:tab/>
        <w:br/>
        <w:tab/>
        <w:t xml:space="preserve">Предвид общата правилност на обжалваното съдебно решение, същото трябва да бъде оставено в сила. </w:t>
        <w:tab/>
        <w:br/>
        <w:tab/>
        <w:t xml:space="preserve">Предвид изхода на делото, на ответника се дължат направените и своевременно претендира разноски в размер на 1602, 41 лева, заплатено адвокатско възнаграждение.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ОСТАВЯ В СИЛА решение № 2423/21.11.2018 година на Административен съд гр. П. по адм. д. № 2664/2018 година. </w:t>
        <w:tab/>
        <w:br/>
        <w:tab/>
        <w:t xml:space="preserve">ОСЪЖДА община С. да заплати на Министерство на регионалното развитие и благоустройство сумата от 1602, 41 лева /хиляда шестстотин и два лева и четиридесет и една стотинки /, заплатено адвокатско възнаграждение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