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№377/03.10.2019 по гр. д. №4257/2018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377</w:t>
        <w:tab/>
        <w:br/>
        <w:tab/>
        <w:t xml:space="preserve"> </w:t>
        <w:tab/>
        <w:br/>
        <w:tab/>
        <w:t xml:space="preserve">София, 04.10. 2019г.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трети октомври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4257/2018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С определение № 472/11.06.2019г., постановено по настоящото дело, не е допуснато касационно обжалване на въззивно решение № 301 от 12.07.2018г. на Великотърновския окръжен съд, постановено по в. гр. д.№ 357/2018г. </w:t>
        <w:tab/>
        <w:br/>
        <w:tab/>
        <w:t xml:space="preserve"> </w:t>
        <w:tab/>
        <w:br/>
        <w:tab/>
        <w:t xml:space="preserve">С молба вх. № 6222 от 08.07.2018г.,подадена чрез адв. В. от В., ответникът по касационната жалба П. В. Д. е поискал ВКС да допълни определението си, като й присъди разноски, извършени пред касационната инстанция.</w:t>
        <w:tab/>
        <w:br/>
        <w:tab/>
        <w:t xml:space="preserve"> </w:t>
        <w:tab/>
        <w:br/>
        <w:tab/>
        <w:t xml:space="preserve">Ответната страна Народно читалище „Заря-1900“, представлявано от председателя Ангел П. Л., чрез адв. Р. И. от АК - Велико Т., не взема становище по молбата.</w:t>
        <w:tab/>
        <w:br/>
        <w:tab/>
        <w:t xml:space="preserve"> </w:t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</w:t>
        <w:tab/>
        <w:br/>
        <w:tab/>
        <w:t xml:space="preserve"> </w:t>
        <w:tab/>
        <w:br/>
        <w:tab/>
        <w:t xml:space="preserve">По същество, молбата е основателна и като такава следва да се уважи.</w:t>
        <w:tab/>
        <w:br/>
        <w:tab/>
        <w:t xml:space="preserve"> </w:t>
        <w:tab/>
        <w:br/>
        <w:tab/>
        <w:t xml:space="preserve">Съображенията за това са следните: </w:t>
        <w:tab/>
        <w:br/>
        <w:tab/>
        <w:t xml:space="preserve"> </w:t>
        <w:tab/>
        <w:br/>
        <w:tab/>
        <w:t xml:space="preserve"> С постановеното по делото определение съдът не се е произнесъл по претенциите за разноски, сторени от страните в производството пред касационната инстанция. Предвид изхода на делото разноски за касатора не се следват, но ответната страна има право да й се присъдят сторените и надлежно удостоверени такива в размер 600лв. Искане за присъждането им е релевирано своевременно с отговора по касационната жалба – лист 23 от делото. Видно от представения договор за правна защита и съдействие от 12.10.2018г. уговореното адвокатско възнаграждение в размер 600лв. е заплатено в брой – лист 28 от делото. </w:t>
        <w:tab/>
        <w:br/>
        <w:tab/>
        <w:t xml:space="preserve"> </w:t>
        <w:tab/>
        <w:br/>
        <w:tab/>
        <w:t xml:space="preserve">Воден от горното и на основание чл. 248 от ГПК, Върховният касационен съд на Р. Б, Гражданска колегия, състав на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№472/11.06.2019г. на ВКС по гр. д. № 4257/2018г. в частта му за разноските като</w:t>
        <w:tab/>
        <w:br/>
        <w:tab/>
        <w:t xml:space="preserve"> </w:t>
        <w:tab/>
        <w:br/>
        <w:tab/>
        <w:t xml:space="preserve">ОСЪЖДА Народно читалище „Заря-1900“ – [населено място] с ЕИК[ЕИК], представлявано от председателя Ангел П. Л., да заплати на П. В. Д. с ЕГН [ЕГН] от [населено място], съдебно-деловодни разноски по делото в размер на 600 лв.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