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№160/17.03.2025 по гр. д. №3609/2023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 </w:t>
        <w:tab/>
        <w:br/>
        <w:tab/>
        <w:t xml:space="preserve"/>
        <w:tab/>
        <w:br/>
        <w:tab/>
        <w:t xml:space="preserve"> № 160</w:t>
        <w:tab/>
        <w:br/>
        <w:tab/>
        <w:t xml:space="preserve"/>
        <w:tab/>
        <w:br/>
        <w:tab/>
        <w:t xml:space="preserve">София,17.03.2025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тринадесети март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3609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С решение № 602 от 21.10.2024 г. по настоящото дело е уважен частично предявеният Ж. Г. М., поставена под пълно запрещение, действаща чрез настойника си Е. Г. М., срещу Т. П. К. иск по чл.30, ал.1 ЗН , като е намалено дарението, извършено от Г. А. К. в полза на П. А. К. върху следния недвижим имот: самостоятелен обект в сграда, с идентификатор [№] по КККР на [населено място] с адрес на имота: [населено място], [улица], вх.А, ет.3, ап. ляв, представляващ жилище с площ от 100 кв. м., избено помещение с площ от 12 кв. м. и таванско помещение с площ от 5 кв. м., както и 14.21 ид. ч. от общите части на сградата, при съседни обекти в сградата: на същия етаж- [№], под обекта: [№], над обекта: [№], което дарение е извършено с нотариален акт № 180, т.II, рег. № 2966, н. д. № 350 от 19.06.2013 г. на нотариус А. Д. с район на действие РС-Б..</w:t>
        <w:tab/>
        <w:br/>
        <w:tab/>
        <w:t xml:space="preserve"/>
        <w:tab/>
        <w:br/>
        <w:tab/>
        <w:t xml:space="preserve">С молба вх. № 4 8328 от 15.11.2024 г. процесуалният представител на ищцата е поискал отстраняване на очевидна фактическа грешка в решението относно точния идентификатор на описания по-горе имот. Съдът е посочил идентификатор [№], но още с молба от 14.09.2020 г., подадена преди първото съдебно заседание пред първоинстанционния съд, е посочен актуалният идентификатор на имота - [№], който фигурира в данъчната оценка и в издадената схема, както и актуалните идентификатори на съседите: на същия етаж - [№]; под обекта; [№]; над обекта - [№]. Иска се в съдебното решение да бъде посочен верният идентификатор на спорния имот и на неговите съседи. </w:t>
        <w:tab/>
        <w:br/>
        <w:tab/>
        <w:t xml:space="preserve"/>
        <w:tab/>
        <w:br/>
        <w:tab/>
        <w:t xml:space="preserve">Ответницата Т. П. К. не взема становище по молбата.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счита молбата за основателна. </w:t>
        <w:tab/>
        <w:br/>
        <w:tab/>
        <w:t xml:space="preserve"/>
        <w:tab/>
        <w:br/>
        <w:tab/>
        <w:t xml:space="preserve">В диспозитива на съдебното решение апартаментът в [населено място], [улица], вх.А, ет.3, ап. ляв, е описан с идентификатора [№], който е посочен в нотариален акт № 180/19.06.2013 г., II рег. № 2966, дело № 350/2013 г. на нотариус А. Д. с район на действие РС-Б., и при съседи [№], [№] и [№], посочени в същия нотариален акт. Към момента на подаване на исковата молба обаче актуалните идентификатори са тези, посочени в молбата от 14.09.2020 г. и те трябва да фигурират в съдебното решение след отстраняване на очевидна фактическа грешка по реда на настоящото производство по чл.247 ГПК. Следва да се отстрани и грешката в идентификатора, допусната в мотивите на решението.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Допуска на основание чл.247 ГПК поправка на очевидни фактически грешки в решение № 602 от 21.10.2024 г. по гр. д. № 3609/2023 г. на Върховния касационен съд, I-во г. о., както следва:</w:t>
        <w:tab/>
        <w:br/>
        <w:tab/>
        <w:t xml:space="preserve"/>
        <w:tab/>
        <w:br/>
        <w:tab/>
        <w:t xml:space="preserve">В мотивите на стр. 8 от решението, ред 30 отгоре надолу вместо „обект с идентификатор [№]“ следва да се чете „обект с идентификатор [№]“.</w:t>
        <w:tab/>
        <w:br/>
        <w:tab/>
        <w:t xml:space="preserve"/>
        <w:tab/>
        <w:br/>
        <w:tab/>
        <w:t xml:space="preserve">В диспозитива на решението на стр. 11, абзац трети, в който е описан апартаментът в [населено място], [улица], вх.А, ет.3, ап. ляв,</w:t>
        <w:tab/>
        <w:br/>
        <w:tab/>
        <w:t xml:space="preserve"/>
        <w:tab/>
        <w:br/>
        <w:tab/>
        <w:t xml:space="preserve">- на ред втори вместо израза „идентификатор [№]“ да се чете „идентификатор [№]“;</w:t>
        <w:tab/>
        <w:br/>
        <w:tab/>
        <w:t xml:space="preserve"/>
        <w:tab/>
        <w:br/>
        <w:tab/>
        <w:t xml:space="preserve">- на редове № 7 и № 8 вместо израза „при съседи [№], [№] и [№]“, да се чете израза „ [№]; под обекта; [№]; над обекта - [№]“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