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№2678/22.02.2019 по адм. д. №10481/2017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във връзка с § 149 от Преходните и заключителни разпоредби към Закон за изменение и допълнение на АПК (обн. ДВ бр. 77/2018г.). </w:t>
        <w:tab/>
        <w:br/>
        <w:tab/>
        <w:t xml:space="preserve">Образувано е по жалба на И.С срещу решение № 120/11.07.2017г. постановено по административно дело № 234/2016г. по описа на Административен съд Кюстендил /АС/ - Кюстендил. </w:t>
        <w:tab/>
        <w:br/>
        <w:tab/>
        <w:t xml:space="preserve">Касаторът оспорва съдебното решение като твърди, че то е неправилно поради нарушение на материалния закон. Иска оспорваното решение да бъде отменено и да се задължи ответника да предостави исканата информация. Претендира разноски. </w:t>
        <w:tab/>
        <w:br/>
        <w:tab/>
        <w:t xml:space="preserve">Ответникът по касация – Председателят на Народно читалище „Братство 1869“ – Кюстендил не взема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пето отделение, след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след съвещание, намира следното от фактическа и правна страна: </w:t>
        <w:tab/>
        <w:br/>
        <w:tab/>
        <w:t xml:space="preserve">Касационната жалба е процесуално допустима. Подадена е в законоустановения срок, от надлежна страна, за която е налице правен интерес от оспорването и срещу подлежащ на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№ 120/11.07.2017г. постановено по административно дело № 234/2016г. по описа на АС – Кюстендил, е отхвърлена жалбата на И.С срещу решение за достъп до обществена информация № 7/30.06.2016г. на председателят на Народно читалище „Братство 1869“ – Кюстендил, с което на Сапунджиев е отказан достъп до поисканата със заявление вх. № 79/17.06.2016г. обществена информация. За да отхвърли жалбата съдът е приел, че обжалваното решение е издадено от компетентен орган, в законоустановената форма, без да са допуснати нарушения на административнопроизводствените правила и в съответствие с материалния закон. АС е посочил, че заявителят не е субект на информацията по чл. 4, т. 1 от ЗДОИ (ЗАКОН ЗА ДОСТЪП ДО ОБЩЕСТВЕНА ИНФОРМАЦИЯ) /ЗДОИ/ и по отношение на него съществува специален правен ред за снабдяване с информацията.Така постановено съдебно решение е правилно. </w:t>
        <w:tab/>
        <w:br/>
        <w:tab/>
        <w:t xml:space="preserve">Правилен е изводът на първостепенния съд, че поисканата със заявление вх. № 79/17.06.2016г. информация е обществена по смисъла на чл. 2 ЗДОИ. Съгласно тази разпоредба обществена информация по смисъла на този закон е всяка информация, свързана с обществения живот в Р. Б и даваща възможност на гражданите да си съставят собствено мнение относно дейността на задължените по закона субекти. В случая със заявлението се иска достъп до информация свързана с разходването на средства с произход финансови средства от общински източник, републикански източник и/или европейско финансиране, а по отношение на тази информация, юридическите лица по силата на чл. 3, ал. 2, т. 2 ЗДОИ, са задължени субекти. Поради това е правилен и изводът на съда, че читалището е задължен субект по ЗДОИ. </w:t>
        <w:tab/>
        <w:br/>
        <w:tab/>
        <w:t xml:space="preserve">Народните читалища са юридически лица с нестопанска цел – чл. 2, ал. 2 от ЗНЧ (ЗАКОН ЗА НАРОДНИТЕ ЧИТАЛИЩА) /ЗНЧ/. По делото е установено, че в периода 01.01.2015г. – 31.12.2015г. касаторът е бил член както на Настоятелството на читалището, така и член на самото сдружение. Съгласно чл. 30 ЗНЧ за неуредените в този закон случаи се прилага Законът за юридическите лица с нестопанска цел /ЗЮЛНЦ/. Изрично в чл. 21, ал. 2 от ЗЮЛНЦ е предвидено, че всеки член има право да участва в управлението на сдружението, да бъде информиран за неговата дейност, да се ползва от имуществото му и от резултатите от дейността му по реда, предвиден в устава. Тази правна възможност, изключва членовете на сдружението като субекти на информацията по чл. 4, ал. 1 ЗДОИ. В този смисъл Решение № 2158/14.02.2019г. по дело 10482/2017г. по описа на ВАС. </w:t>
        <w:tab/>
        <w:br/>
        <w:tab/>
        <w:t xml:space="preserve">По изложените съображения настоящият съдебен състав намира, че обжалваното съдебно решение като валидно, допустимо, и правилно следва да бъде оставено в сила. </w:t>
        <w:tab/>
        <w:br/>
        <w:tab/>
        <w:t xml:space="preserve">По водене на делото пред настоящата инстанция ответната страна не е направила разноски, не е и поискала присъждането на такива, поради което не и се следват такива, въпреки отхвърлянето на жалбата.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отделениеРЕШИ:</w:t>
        <w:tab/>
        <w:br/>
        <w:tab/>
        <w:t xml:space="preserve">ОСТАВЯ В СИЛА решение № 120/11.07.2017г. постановено по административно дело № 234/2016г. по описа на Административен съд Кюстендил - 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