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№114/21.05.2020 по гр. д. №207/2020 на ВКС, ГК, IV г.о.,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София, 21.05.2020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двадесети май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 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207/2020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 </w:t>
        <w:tab/>
        <w:br/>
        <w:tab/>
        <w:t xml:space="preserve"> </w:t>
        <w:tab/>
        <w:br/>
        <w:tab/>
        <w:t xml:space="preserve">Образувано е по молба на Д. Д. Д. за отмяна на влязло в сила решение № 389 от 08.11.2017 г. по гр. д.№ 92/2017 г. по описа на Карловски районен съд, с което са отхвърлени предявените от молителя искове с правно основание чл. 26 ЗЗД срещу О. К,Я. В. Н.,Д. Г. Н. и В. А. Н..</w:t>
        <w:tab/>
        <w:br/>
        <w:tab/>
        <w:t xml:space="preserve"> </w:t>
        <w:tab/>
        <w:br/>
        <w:tab/>
        <w:t xml:space="preserve">Молителят обосновава молбата си за отмяна на основание чл. 303, ал. 1, т. 1 и т. 2 ГПК с твърдение, че е налице постановление от 2.10.2019 г. на РП-Карлово, с което е прекратено наказателното производство по досъдебно производство № 322/2019 г по описа на РУ на МВР – Карлово, пр. пр.№ 264/2019 г. по описа на РП-Карлово образувано и водено за престъпление по чл. 311, ал. 1 НК,поради изтекла давност за наказателно преследване.</w:t>
        <w:tab/>
        <w:br/>
        <w:tab/>
        <w:t xml:space="preserve"> </w:t>
        <w:tab/>
        <w:br/>
        <w:tab/>
        <w:t xml:space="preserve">Ответникът по молбата за отмяна – О. К,чрез процесуалния представител юрк.И.Д. е депозирал отговор по смисъла на чл. 306, ал. 3 ГПК,в който моли да не се допуска отмяна на влязлото в сила решение, тъй като молбата за отмяна е неоснователна на посочените основания.Претендира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за отмяна и взе предвид изложеното в нея, намира, че молбата за отмяна е допустима - отговаря на изискванията на чл. 305, ал. 1, т. 2 ГПК, поради което следва да се допусне до разглеждане по същество.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ІV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по същество молбата на Д. Д. Д. за отмяна на влязло в сила решение № 389 от 08.11.2017 г. по гр. д.№ 92/2017 г. по описа на Карловски районен съд.</w:t>
        <w:tab/>
        <w:br/>
        <w:tab/>
        <w:t xml:space="preserve"> </w:t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