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№1026/04.10.2016 по адм. д. №1769/2016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началника на Митница Б., чрез юрк.. Т като процесуален представител, срещу решение № 1908 от 14.12.2015 г., постановено по адм. дело № 413/2015 г. по описа на Административен съд - Бургас. И. се доводи за неправилност на обжалваното решение като постановено в нарушение на материалния закон. Претендира се отмяната му и постановяване на друго, с което оспорването срещу акта за установяване на задължение по декларация, потвърден с решение на началника на Митница Б., да се отхвърли. Прави се искане за присъждане на юрисконсултско възнаграждение.Ответникът - [фирма] не изразява становище.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в срок и от надлежна страна по смисъла на чл. 210, ал. 1 АПК, за която съдебният акт е неблагоприятен.Разгледана по същество е неоснователна. </w:t>
        <w:tab/>
        <w:br/>
        <w:tab/>
        <w:t xml:space="preserve">С обжалваното решение първоинстанционният съд е отменил акт за установяване на задължение по декларация № 32-155518/16.12.2014 г., издаден от П. Н. на длъжност старши митнически инспектор, сектор "АНТИ", отдел "Акцизи", Митница Б., потвърден с решение № 32-6982/14.01.2015 г. на началника на Митница Б., с който на [фирма] са установени задължения за акциз за данъчния период 1.09.2014 г. - 30.09.2014 г. в размер на 87 067, 56 лв. по акцизна декларация вх. № ВG001000/02-04059/07112014. </w:t>
        <w:tab/>
        <w:br/>
        <w:tab/>
        <w:t xml:space="preserve">За да постанови този резултат, административният съд е приел, че оспореният акт за установяване на задължение по декларация (АУЗД) е издаден от компетентен орган, в изискуемата форма, при спазване на административнопроизводствените правила, но при неправилно приложение на материалния закон. Съдът е обосновал извод, че единственото условие по чл. 64, ал. 13, изр. първо ЗАДС и чл. 68а, ал. 2, изр. второ ППЗАДС (в относимите редакции на разпоредбите към датата на издаване на оспорения акт) за възникване на задължение за подаване на акцизна декларация и заплащане на акциз е установяването на липси на бандероли, каквото установяване в случая няма. Приел е, че в случая има налични, предадени за бракуване общо 24 524 бр. бандероли, за които е констатирано при проверката, че са без реквизити и/или защити по смисъла на чл. 66а, ал. 3 ППЗАДС. Като се е позовал на заключението на съдебно-икономическата експертиза, съдът е достигнал до извод, че проверените бандероли без реквизити и/или защити не представляват установена липса по смисъла на чл. 64, ал. 13 ЗАДС (в приложимата редакция), в резултат на която да възникне задължение за заплащане на акциз. Направил е заключение, че липсата на бандероли следва да се установи чрез проверка на наличните, получените и облепените бандероли, върнати като неизползвани или бракувани бандероли през съответния отчетен период, каквато проверка в случая не е извършена в производството по предварително установяване на задълженията. По тези съображения съдът е приел, че оспореният акт е незаконосъобразен поради липса на материалноправните предпоставки за издаването му.Обжалваното решение е правилно. </w:t>
        <w:tab/>
        <w:br/>
        <w:tab/>
        <w:t xml:space="preserve">Настоящият състав напълно споделя изводите на първоинстанционния съд относно компетентността на митническия орган, издал оспорения АУЗД на основание чл. 107, ал. 3 ДОПК във вр. с чл. 104, ал. 3 ЗАДС, потвърден с решение на началника на митница Б. в качеството му на решаващ орган с правомощията на териториален директор, относно спазването на изискванията за форма и регламентираната процедура, вкл. по отношение изпълнението на реда по чл. 103 ДОПК. </w:t>
        <w:tab/>
        <w:br/>
        <w:tab/>
        <w:t xml:space="preserve">Спорът по делото е свързан с приложението на материалния закон и тълкуването на понятието „липса на бандероли” по смисъла на чл. 64, ал. 13 ЗАДС (в относимата редакция на разпоредбата към датата на издаване на акта – ДВ, бр. 101/2013 г.). </w:t>
        <w:tab/>
        <w:br/>
        <w:tab/>
        <w:t xml:space="preserve">С оспорения в първоинстанционното производство АУЗД на [фирма] са определени задължения за акциз поради неспазване условието на чл. 68а, ал. 2 ППЗАДС по отношение на част от бандеролите, представени за бракуване, които не попадат в дефиницията на чл. 66а, ал. 3 ППЗАДС, да регистрира електронен акцизен документ за тях и да внесе дължимия акциз в срока по чл. 68а, ал. 1 ППЗАДС за данъчния период м. 09.2014 г. </w:t>
        <w:tab/>
        <w:br/>
        <w:tab/>
        <w:t xml:space="preserve">От фактическа страна безспорно е установено, че дружеството е представило за бракуване 65 933 бр. бандероли. След извършена проверка органът по приходите е приел, че общият брой физически налични за бракуване бандероли е 64 048 бр., от които 39 524 бр. подлежат на бракуване, а 24 524 бр., представляващи разлика между наличните и действително бракуваните, са без реквизити и/ или защити, като установените недостатъци приравняват тези бандероли на липсващи такива, за които дружеството е следвало да подаде акцизна декларация по чл. 68а, ал. 1 ППЗАДС и да внесе определения с акта акциз. </w:t>
        <w:tab/>
        <w:br/>
        <w:tab/>
        <w:t xml:space="preserve">Разпоредбата на чл. 64, ал. 12 (в относимата редакция) предвижда задължение за заявителите на бандероли да предоставят пред компетентното митническо учреждение отчет за получените бандероли за всяко тримесечие по ред и начин, определени с Правилник за прилагане на закона. Според ал. 13, изр. 1 на посочената норма (в относимата редакция) отчетите за бандероли по ал. 12 се предоставят в срока за подаване на акцизната декларация след изтичане на тримесечието, следващо отчетния период, като в случай на липси на бандероли възниква задължение за заплащане на акциз. </w:t>
        <w:tab/>
        <w:br/>
        <w:tab/>
        <w:t xml:space="preserve">Съгласно чл. 68а, ал. 1 и ал. 2 ППЗАДС (редакция ДВ, бр. 25/2013 г., в сила от 01.07.2013 г.) лицата по чл. 59 предоставят отчет за получените бандероли за всяко тримесечие в 14-дневен срок след изтичане на тримесечието, следващо отчитаното тримесечие, съгласно приложение № 12в. Отчетът по ал. 1 се изготвя в последния месец на тримесечието, следващо отчитаното тримесечие. За установените липси на бандероли лицата по чл. 59 издават регистриран електронен акцизен данъчен документ и внасят дължимия акциз в срока по ал. 1. </w:t>
        <w:tab/>
        <w:br/>
        <w:tab/>
        <w:t xml:space="preserve">В случая административният орган е приравнил част от представените от дружеството за бракуване бандероли на липсващи такива по смисъла на чл. 68а, ал. 2 ППЗАДС. Това заключение е направено, след като митническият орган е констатирал броя на наличните, предвидени за бракуване бандероли след преброяването им, отчел е броя на действително подлежащите от тях за бракуване, притежаващи видими всички реквизити и защити и след доказване на автентичността им въз основа на митническа експертиза, съгласно чл. 66а, ал. 3 ППЗАДС, а разликата между тях е определил като липса на бандероли, след като не притежават изискуемите задължителни белези. Изводът на съда, че в случая не е установена липса на бандероли по смисъла на чл. 64, ал. 13 ЗАДС и чл. 68а, ал. 2 изр. 2 ППЗАДС е законосъобразен и обоснован. За да се приеме, че е налице липса на бандероли, е необходимо извършването на проверка на получените, наличните, облепените бандероли, неизползваните или бракувани такива, унищожените бандероли, облепени върху акцизни стоки през съответния период. В случая такава проверка и съпоставка на данните не е извършвана. Констатацията на митническия орган е направена само въз основа на наличните, представени за бракуване бандероли и действително бракуваните като притежаващи всички реквизити и/ или защити. Не е отчетено законовото изискване липсата да се определи на база отчета за получените бандероли съгласно чл. 64, ал. 12 ЗАДС. Случаите на бракуване на бандероли по чл. 66а, ал. 1 във вр. с ал. 3 ППЗАДС (в относимата редакция) са относими към хипотезите, регламентирани в чл. 27, ал. 7 и ал. 8 ЗАДС отм. , редакция ДВ, бр. 55/2010 г.) във връзка с искане за възстановяване на недължимо платен или подлежащ на възстановяване акциз от лицата, но не обосновава автоматично липса на бандероли, когато такива са предадени за бракуване без реквизити и/ или защити по смисъла на 66а, ал. 3 ППЗАДС. Като е направил извод, че в случая не са установени липси на бандероли съгласно чл. 64, ал. 13 ЗАДС, съдът е постановил решението си в съответствие с материалния закон. </w:t>
        <w:tab/>
        <w:br/>
        <w:tab/>
        <w:t xml:space="preserve">Предвид изложеното и при извършената по чл. 218, ал. 2 АПК проверка настоящият състав приема, че обжалваното решение е валидно, допустимо и правилно. Не е налице наведеното касационно основание за отмяната му, поради което съдебният акт следва да се остави в сила. </w:t>
        <w:tab/>
        <w:br/>
        <w:tab/>
        <w:t xml:space="preserve">При този изход на делото на касационния жалбоподател не се дължат разноски. 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отделениеРЕШИ:</w:t>
        <w:tab/>
        <w:br/>
        <w:tab/>
        <w:t xml:space="preserve">ОСТАВЯ В СИЛА решение № 1908 от 14.12.2015 г., постановено по адм. дело № 413/2015 г. по описа на Административен съд -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