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№110/03.12.2009 по търг. д. №335/2009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второ отделение, в съдебно заседание на четвърти ноември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ТОДОР ДОМУЗЧИЕВ</w:t>
        <w:tab/>
        <w:br/>
        <w:tab/>
        <w:t xml:space="preserve"> </w:t>
        <w:tab/>
        <w:br/>
        <w:tab/>
        <w:t xml:space="preserve"> КАМЕЛИЯ ЕФРЕМОВА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председателя (съдия) Татяна Върбанова</w:t>
        <w:tab/>
        <w:br/>
        <w:tab/>
        <w:t xml:space="preserve"> </w:t>
        <w:tab/>
        <w:br/>
        <w:tab/>
        <w:t xml:space="preserve">т. д. № 335/2009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срока за произнасяне съдебният състав констатира, че с разпореждане от 02.11.2009 г. на Председателя на Върховния касационен съд, на основание чл. 128, ал. 1 и 3 и чл. 129 ал. 1 – 3 от ЗСВ, е образувано Тълкувателно дело № 1/2009 г. по описа на Върховен касационен съд, Търговска колегия. Предмет на това дело са множество въпроси, свързани не само с искове за неустойки по приватизационни договори, но и по търговски договори, включително и въпросът за условията и предпоставките, при наличието на които договорната клауза за неустойка ще е нищожна поради накърняване на добрите нрави/ чл. 26, ал. 1 ЗЗД/. Този въпрос е предмет и на настоящото дело. С оглед установената в искането на Председателя на Върховния касационен съд до Общото събрание на Търговска колегия противоречивост в практиката на ВКС по посочения въпрос и предвид вече образуваното тълкувателно дело, следва да се приеме, че са налице предпоставките на чл. 292 ГПК за спиране на производството по настоящото дело.</w:t>
        <w:tab/>
        <w:br/>
        <w:tab/>
        <w:t xml:space="preserve"> </w:t>
        <w:tab/>
        <w:br/>
        <w:tab/>
        <w:t xml:space="preserve">Предвид горното, ВКС, ТК, състав на ІІ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определението от съдебно заседание но 04.11.2009 г. за даване ход по същество.</w:t>
        <w:tab/>
        <w:br/>
        <w:tab/>
        <w:t xml:space="preserve"> </w:t>
        <w:tab/>
        <w:br/>
        <w:tab/>
        <w:t xml:space="preserve">СПИРА, на основание чл. 292 ГПК, производството по т. д. № 335/2009 г. по описа на Върховен касационен съд, Търговска колегия, второ отделение.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ВКС, ТК, в едноседмичен срок от съобщаването му на страните чрез връчване на препис от него.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