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№642/10.09.2014 по ч.гр.д. №437/2014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осми септември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МАРИЯ ИВАНОВА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П. ч. гр. д.№ 437 по описа за 2014 г. и за да се произнесе взе пред вид следното: </w:t>
        <w:tab/>
        <w:br/>
        <w:tab/>
        <w:t xml:space="preserve"> </w:t>
        <w:tab/>
        <w:br/>
        <w:tab/>
        <w:t xml:space="preserve">Постъпила е на 21.07.2014г. частна жалба срещу определение № 415 от 12.06.2014г. по ч. гр. д.№ 437/14г. на ВКС, подадена от С. А. К. – Х..</w:t>
        <w:tab/>
        <w:br/>
        <w:tab/>
        <w:t xml:space="preserve"> </w:t>
        <w:tab/>
        <w:br/>
        <w:tab/>
        <w:t xml:space="preserve">Частната жалба е оставена с разпореждане от 28.07.2014г. без движение за внасяне в 7дневен срок от получаване на съобщението на държавна такса от 15лв.</w:t>
        <w:tab/>
        <w:br/>
        <w:tab/>
        <w:t xml:space="preserve"> </w:t>
        <w:tab/>
        <w:br/>
        <w:tab/>
        <w:t xml:space="preserve">Изпратени са две съобщения на адреса, който е посочен от частната жалбоподателка в подадената от нея жалба и на който тя е получавала съобщения в хода на производството, които са се върнали в цялост с отбелязване: „лицето е търсено много пъти на адреса, на оставените съобщения не се явява. По сведения на съседите живее през лятото на вилата” с посочени дати за посещение: 27.08. и 28.08.2014г.</w:t>
        <w:tab/>
        <w:br/>
        <w:tab/>
        <w:t xml:space="preserve"> </w:t>
        <w:tab/>
        <w:br/>
        <w:tab/>
        <w:t xml:space="preserve">С оглед горецитиранато отбелязване, съдът прие страната за редовно уведомена за изпратеното й съобщение, на основание чл. 41 ал. 2 от ГПК, съгласно която норма, при неизпълнение на задължението на страната при отсъствие повече от месец от адреса, който е съобщила по делото </w:t>
        <w:tab/>
        <w:br/>
        <w:tab/>
        <w:t xml:space="preserve"> </w:t>
        <w:tab/>
        <w:br/>
        <w:tab/>
        <w:t xml:space="preserve">или</w:t>
        <w:tab/>
        <w:br/>
        <w:tab/>
        <w:t xml:space="preserve"> </w:t>
        <w:tab/>
        <w:br/>
        <w:tab/>
        <w:t xml:space="preserve"> на който веднъж й е връчено съобщение, да уведоми съда за новия си адрес – всички съобщения се прилагат по делото и се считат за връчени.</w:t>
        <w:tab/>
        <w:br/>
        <w:tab/>
        <w:t xml:space="preserve"> </w:t>
        <w:tab/>
        <w:br/>
        <w:tab/>
        <w:t xml:space="preserve">Върховният касационен съд, в настоящия състав, след като съобрази гореизложеното, намира че следва да върне подадената частна жалба поради неизпълнение в срок на дадените по установения ред указания за внасяне на държавна такса, поради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 на С. А. К. – Х. с посочен адрес: [населено място] [улица] вх.А ап. 2 подадената от нея частна жалба срещу определение № 415 от 12.06.2014г. по ч. гр. д.№ 437/14г. на Върховен касационен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Върховен касационен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