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№2688/17.10.2024 по търг. д. №516/2023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2688</w:t>
        <w:tab/>
        <w:br/>
        <w:tab/>
        <w:t xml:space="preserve"/>
        <w:tab/>
        <w:br/>
        <w:tab/>
        <w:t xml:space="preserve">Гр. София, 17.10.2024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петнадесети октомври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Зорница Хайдукова т. д. № 516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77 ГПК.</w:t>
        <w:tab/>
        <w:br/>
        <w:tab/>
        <w:t xml:space="preserve"/>
        <w:tab/>
        <w:br/>
        <w:tab/>
        <w:t xml:space="preserve">Съдът констатира, че при разглеждане на делото от първоинстанционния ОС – Варна, дължимата държавна такса по иска по чл. 233, ал. 1 ЗЗД е събрана предварително в размер на сумата 30 лв., а не в пълния дължим размер от 2 880 лв. </w:t>
        <w:tab/>
        <w:br/>
        <w:tab/>
        <w:t xml:space="preserve"/>
        <w:tab/>
        <w:br/>
        <w:tab/>
        <w:t xml:space="preserve">Първоинстанционният съд е постановил по реда на чл. 77 ГПК определение № 953 от 30.07.2021 г. по т. д. 3/2021 г. по описа на ОС – Варна за принудително събиране на дължимата разлика от 2 850 лв., който съдебен акт е отменен с решение № 131 от 29.04.2022 г. по т. д. 28/2022 г. по описа на АС – Варна. Последното решение е изцяло отменено с решение № 105 от 12.07.2024 г. по т. д. 516/2023 г. по описа на ВКС, ТК, II ТО, с което съдът се е произнесъл по дължимите по делото разноски с оглед изхода на спора, без да събере дължимата и несъбрана предварително държавна такса за разглеждане на делото от първоинстанциония съд. </w:t>
        <w:tab/>
        <w:br/>
        <w:tab/>
        <w:t xml:space="preserve"/>
        <w:tab/>
        <w:br/>
        <w:tab/>
        <w:t xml:space="preserve">При спазване правилото на чл. 77 ГПК дължима държавна такса следва да бъде събрана от изгубилата делото страна – ответника „Изток инвест 96“ ЕООД, с настоящото определение.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ОСЪЖДА “Изток Инвест 96“ ЕООД, ЕИК[ЕИК], да заплати по сметка на Окръжен съд – Варна на основание чл. 77 ГПК сумата 2850 лв. – дължима държавна такса за първоинстанционното производство.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