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№8080/30.05.2019 по адм. д. №4045/2019 на ВАС, докладвано от съдия Румяна Монова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чл. 216 от ЗОП (ЗАКОН ЗА ОБЩЕСТВЕНИТЕ ПОРЪЧКИ) /ЗОП/ вр. с чл. 208 и сл. от Административнопроцесуалния кодекс. </w:t>
        <w:tab/>
        <w:br/>
        <w:tab/>
        <w:t xml:space="preserve">Образувано е по касационна жалба на Консорциум "ТП София-Волуяк", гр. С., представляван от Х.М с участници в консорциума "Т. А"ГМБХ и "П. Б" ЕАД, гр. С., с процесуален представител адвокат Пачаманов срещу решение №237 от 21.02.2019г. на Комисията за защита на конкуренцията/КЗК/ по преписка №К-46 от 2019г., с което е оставена без уважение жалбата на Консорциума срещу Решение № 65/07.12.2018 г. на Генералния директор на "Национална компания Железопътна инфраструктура" за класиране на участниците и определяне на изпълнител за обществена поръчка с предмет: "Проектиране и строителство на системи за сигнализация и телекомуникации и Европейска система за управление на влаковете (ERTMS) за проект „2014-BG-TMC-0133-W – Развитие на железопътен възел София: железопътен участък „София – Волуяк", открита с Решение № 28 от 3.03.2018 г. Твърди, че решението на КЗК е постановено в противоречие с материалния закон като на стр. 9 сочи и, че е налице нарушение на административнопроизводствените правила. Развити са доводи и за необоснованост. Би могло да се приеме, че се твърдят основания по чл. 209 т. 3 от АПК за отмяна на посоченото решение. Иска се отмяна на решението на КЗК и да се постанови решение по същество, с което се уважи подадената от Консорциума жалба пред КЗК или алтернативно - да се върне на КЗК за ново произнасяне. </w:t>
        <w:tab/>
        <w:br/>
        <w:tab/>
        <w:t xml:space="preserve">Отговор по така подадената касационна жалба е подадена от ДП "Национална компания "Железопътна инфраструктура"София, представлявано от К.П и юрисконсулт Арнаудова от 25.4.2019г., в който се оспорват изложените оплаквания, поддържа се становище за правилност на решението на КЗК и се претендира присъждане на юрисконсултско възнаграждение. </w:t>
        <w:tab/>
        <w:br/>
        <w:tab/>
        <w:t xml:space="preserve">Отговор е подаден на 30.04.2019г. и от ДЗЗД "ИРТМС КА Волуяк", представлявано от Н.П и процесуален представител. Поддържа се правилност на решението на КЗк и се претендира присъждане на разноски за тази инстанция. </w:t>
        <w:tab/>
        <w:br/>
        <w:tab/>
        <w:t xml:space="preserve">Представителят на Върховна административна прокуратура дава подробно заключение за неоснователност на касационната жалба. </w:t>
        <w:tab/>
        <w:br/>
        <w:tab/>
        <w:t xml:space="preserve">Върховен административен съд, четвърто отделение като взе предвид разпоредбата на чл. 218 и сл. от АПК, приема за установено следното: </w:t>
        <w:tab/>
        <w:br/>
        <w:tab/>
        <w:t xml:space="preserve">Касационната жалба е допустима като подадена в срок и от надлежна страна, разгледана по същество е неснователна по следните съображения: </w:t>
        <w:tab/>
        <w:br/>
        <w:tab/>
        <w:t xml:space="preserve">Предмет на контрол пред КЗК е било Решение № 65/07.12.2018 г. на Генералния директор на "Национална компания Железопътна инфраструктура" за класиране на участниците и определяне на изпълнител за обществена поръчка с предмет: "Проектиране и строителство на системи за сигнализация и телекомуникации и Европейска система за управление на влаковете (ERTMS) за проект „2014-BG-TMC-0133-W – Развитие на железопътен възел София: железопътен участък „София – Волуяк", открита с Решение № 28 от 3.03.2018 г. Във връзка с оплакванията в жалбата, подадена до КЗК органа по конкуренция е изложил подробни мотиви, както при изложение на фактическата обстановка, така и при изведените правни изводи. </w:t>
        <w:tab/>
        <w:br/>
        <w:tab/>
        <w:t xml:space="preserve">В голямата си част фактическите твърдения на касатора повтарят тези, изложени вече пред КЗК и разгледани от нея и оплакванията в настоящето производство се свеждат до несъгласие с изводите на КЗК и поддържане на своя теза във връзка с преценката на офертата на класирания на първо място участник. </w:t>
        <w:tab/>
        <w:br/>
        <w:tab/>
        <w:t xml:space="preserve">"ИРТМС КА Волуяк" ДЗЗД е представил договор за създаване на обединение от 06.06.2018 г. В чл. 3 от договора е посочено процентното участие на съдружниците в консорцуима и разпределението на дейностите помежду им, поради което е налице описание на дейностите, които всеки от съдружниците в обединението ще изпълнява. Съдържанието на договора за обединение, както и описание на дейностите, които ще се изпълняват от подизпълнителите „К. ККом“ АГ и „Сиском инженеринг“ ЕАД са посочени в протокол № 2 на помощния орган. Според протокол № 2, комисията на възложителя е съобразила видовете дейности, които всеки от подизпълнителите ще изпълнява, обсъдила е съответствието им с изискванията на възложителя и е дала указания за отстраняване на нередовности към всеки от тях. </w:t>
        <w:tab/>
        <w:br/>
        <w:tab/>
        <w:t xml:space="preserve">Според разпределението на дейностите между участниците в обединението, на съдружника "Атоменергоремонт" АД не е отредено да изпълнява дейности по проектиране и строителство на системи за сигнализация. В чл. 3 от договора за обединение е посочено, че дейностите по проектиране и изграждане на нови маршрутни компютърни сигнализации и съпътстващите ги дейности, ще се извършват от другия съдружник в обединението - "К. С" С.л, за който в допълнително представения ЕЕДОП подробно е описан обхвата на сертификата за управление на качеството, съгласно EN ISO 9001:2015. </w:t>
        <w:tab/>
        <w:br/>
        <w:tab/>
        <w:t xml:space="preserve">По отношение на оплакването за липса на определен брой ЕЕДОП-и, правилно е приетото от КЗК с оглед наличието на такива ЕЕДОП-иот участника - "ИРТМС КА Волуяк" ДЗЗД, участниците в обединението "Атоменергоремонт" АД и "К. С" С.л, както и от посочените подизпълнители "К. ККом" АГ и "Сиском инженеринг" ЕАД, всички подписани от лицата по чл. 40 от ППЗОП. </w:t>
        <w:tab/>
        <w:br/>
        <w:tab/>
        <w:t xml:space="preserve">Правилно е приетото и относно оплакването, че участник не отговоря на изискванията за наличие на опит и минимален оборот – първо, че същото страда от липса на конкретика. На второ място било установено, че в допълнително представения еЕЕДОП от участника определен за изпълнител в част IV Критерии за подбор, Б Икономическо и финансово състояние в т. 6 е предложен екип от 7 технически лица, като комисията на възложителя е констатирала в Протокол № 4, че във връзка с направени констатации, участникът "ИРТМС КА Волуяк" ДЗЗД е представил коректно информацията за наличие на технически лица, попълвайки липсващите данни за всеки един от тях, в съответствие с изискванията на възложителя. </w:t>
        <w:tab/>
        <w:br/>
        <w:tab/>
        <w:t xml:space="preserve">По отношение оплакването по отношение на избрания за изпълнител за липса на необходимите професионални застраховки, следва да има предвид, че в част IV Критерии за подбор, Б Икономическо и финансово състояние в т. 5 от допълнително представения еЕЕДОП е предоставена подробна информация за наличните застраховки. На стр. 2 от Протокол № 4, помощния орган на възложителя е констатирал, че участникът е предоставил необходимата информация в съответствие с констатациите на комисията. </w:t>
        <w:tab/>
        <w:br/>
        <w:tab/>
        <w:t xml:space="preserve">По отношение твърдението за незаконосъобразно е допускане до участие на „ИРТМС КА Волуяк“ ДЗЗД, за който е липсвала декларация за съгласие с клаузите на приложения проект на договор в нарушение на т. 2.2.3 от раздел V на Документацията, като същевременно под това наименование е приложен опис на представените документи, същото е неоснователно. В документация е приложена е Декларация за съгласие с приложения проект на договор, съгласно съдържанието на Образец № 3 от документацията. </w:t>
        <w:tab/>
        <w:br/>
        <w:tab/>
        <w:t xml:space="preserve">Комисията на възложителя е констатирала, че еЕЕДОП на участника "ИРТМС КА Волуяк" ДЗЗД е подаден за обществена поръчка с друго наименование - „Проектиране, доставка и изграждане на маршрутно-компютърна централизация (МКЦ) в гара Синдел”, поради което е указала на участника да представи нов еЕЕДОП с коректно попълнено наименование. Няма нарушение на чл. 54, ал. 8 ППЗОП. Тези действия на комисията не са в нарушение на разпоредбите на ЗОП и ППЗОП. В чл. 67, ал. 3 от ЗОП законодателят е предвидил възможност кандидатите и участниците могат да използват ЕЕДОП, който вече е бил използван при предходна процедура за обществена поръчка, при условие че потвърдят, че съдържащата се в него информация все още е актуална, като подобна алтернатива е допуснал и самият възложителя в документацията за участие. В действията на комисията, относно указанията за коректно попълване наименованието на обществената поръчка и представяне на нов еЕЕДОП, не е налице незаконосъобразност. Със закона се дава възможност на кандидатите и/или участниците в процедурите да отстраняват пропуски по отношение на изискванията за лично състояние и критериите за подбор, с цел да не се стига до отстраняването им на формално основание. </w:t>
        <w:tab/>
        <w:br/>
        <w:tab/>
        <w:t xml:space="preserve">По отношение оплакването, че предложеният от "ИРТМС КА Волуяк" ДЗЗД план за изпълнение на обекта не съответства на минималните изисквания в документацията за участие и не съдържа всички изискуеми от Възложителя части и предвиждания правилно е приетото, че класирания на първо място участник е описал подробно своя план за изпълнение от стр. 24 до стр. 42 от Техническото си предложение. Планът е изготвен в съответствие с Приложение А от Документацията за участие, при стриктно следване на разделите на приложението. Описани са обстоятелствата по изпълнение на проектирането, като са отчетени дейностите на заинтересованите страни, последователността и взаимодействието на отделните процеси и необходимите ресурси. Комисията на възложителя е коментирала и анализирала представения план в Протокол № 5 (стр. 3 до стр. 7). Поради което правилно е приел, че твърденията в жалбата пред КЗК са неоснователни. </w:t>
        <w:tab/>
        <w:br/>
        <w:tab/>
        <w:t xml:space="preserve">Било е направено и оплакване, че в техническото предложение на "ИРТМС КА Волуяк" ДЗЗД са налице несъответствия с изискванията на Техническите спецификации, на Приложение №3 - „Методика за определяне на комплексна оценка на офертите“, Приложение А от документацията за участие и, че техническото предложение на "ИРТМС КА Волуяк" ДЗЗД не отговаря на предметния обхват на поръчката на Възложителя. КЗК правилно е приела, че в техническото си предложение "ИРТМС КА Волуяк" ДЗЗД е предвидил да проектира и изпълни в пълен обем и обхват всички дейности, съгласно изискванията на Възложителя, описани подробно в Техническото предложение за изпълнение на поръчката. Включително взаимодействията между екипите, участващи в процеса на проектиране и разработване, като участникът с координация с изпълнителя на договора за строителство и обединението ще изготви план за управление на взаимодействията, където са описани основните взаимодействия. Проектирането и изграждането на тръбоканалната мрежа е основна дейност във взаимодействието и координацията между изпълнителя на строителните дейности и изпълнителя по настоящата поръчка. Класираният на първо място участник е отчел, че изпълнителят на строителството по другия договор ще проектира кабелните канали, но в непрекъсната координация с Изпълнителя по настоящата обществена поръчка, като проекта трябва да съответства напълно на изискванията за видове, брой и размер на кабелите, които ще се полагат от изпълнителя по тази поръчка. </w:t>
        <w:tab/>
        <w:br/>
        <w:tab/>
        <w:t xml:space="preserve">По отношение на останалите оплаквания се споделят изцяло изложените доводи на КЗК в решението. </w:t>
        <w:tab/>
        <w:br/>
        <w:tab/>
        <w:t xml:space="preserve">Участникът подробно е описал предложените за монтаж нови компютърни централизации с техните възможности. Предложил е нови Маршрутно компютърни централизации за трите гари, които обезпечават скорости до и по високи 160 км/ч. Направено е функционално описание на Quasar, посочено е ново пътно оборудване. Предложението на CAF Signalling включва инсталирането на LED светофори, които ще съответстват на българските стандарти. Посочена е подмяна на всички светофори с нови оборудване с LED, установяването на наличието на влак ще се извършва с брояч на оси. Замяна на релсовите вериги с броячи на оси - Стрелкови обръщателни апарати с технологията Vossloh или подобна, която ще съответства на българските стандарти. </w:t>
        <w:tab/>
        <w:br/>
        <w:tab/>
        <w:t xml:space="preserve">Подробно е направено описание на предложените за монтаж нови компютърни централизации с техните възможности и е предложил нови Маршрутно компютърни централизации за трите гари, които обезпечават скорости до и по високи 160 км/ч., както и бордово оборудване. Декларирано е, че вътрешното и външното оборудване, което е изведено от експлоатация, ще бъде демонтирано. Предвидено са дейности за ремонт и адаптиране на помещенията централна гара София и помещения на ССТ – София, гара Обеля и гара Волуяк, спирки Надежда, Връбница и Обеля. Към ценовото предложение на участника, определен за изпълнител, е приложена разбивка на цената, в която е видно, че са включени дейности по помещения за нуждите на телекомуникации и осигурителна техника в размер на 398 577, 02 лева без ДДС. </w:t>
        <w:tab/>
        <w:br/>
        <w:tab/>
        <w:t xml:space="preserve">От данните по преписката е установено, че участникът е декларирал проектиране, доставки и изграждане на системи за сигнализация и ERTMS/ETCS за гарите София, Обеля и Волуяк. Описани са местоположението на обекта и дейностите, свързани със сигнализацията, които отговарят на изискванията на ТС. </w:t>
        <w:tab/>
        <w:br/>
        <w:tab/>
        <w:t xml:space="preserve">В офертата на класирания на първо място участник е представен График за изпълнение на дейностите по проектиране и строителство. Графикът е представен под форма на диаграма на Гант, с условно определена стартова дата, като за всяка дейност е посочено начален и краен период на изпълнение, и "критичен път". Част от строителните дейности са поставени в отделна графа в съответствие с изискването за посочване на дейности/СМР, които се изпълняват в режим на „прозорци“ или при прекъсване на влаково движение, съдържащо се в Приложение № 3 – "Методика за определяне на комплексната оценка на офертите". </w:t>
        <w:tab/>
        <w:br/>
        <w:tab/>
        <w:t xml:space="preserve">Установено е и, че в техническото е предвидено, че при избора на технологията на строителните работи Участникът в процедурата е взел предвид факта, че железопътната линия ще бъде в експлоатация по време на изпълнение на договора. В тази връзка са предвидени технически решения и мерки, така че да не се възпрепятства нормалната експлоатация на линията. </w:t>
        <w:tab/>
        <w:br/>
        <w:tab/>
        <w:t xml:space="preserve">Следва да се отбележи, че и пред КЗК и пред настоящата инстанция касаторът е изложил доводи и основания като изцяло се е опитал да подмени преценката на помощния орган на възложителя особено относно параметрите на направеното техническо предложение на определения за изпълнител. Тази подмяна е недопустима, с оглед изключителната преценка за законосъобразност на решението на възложителя, което прави КЗК и касационната преценка по оплакванията в касационната жалба, която се прави от настоящата инстанция. Изобилието на съдебна практика в касационната жалба не може да обоснове касационни основания за отмяна, тъй като всеки цитат е извадка от определено решение, което има общо звучене и мотивировка по конкретен случай и би било трудно да бъде наложено като повтаряемост по настоящия. Няма допуснати нарушения на разпоредбите на ЗОП по отношение работата на помощния орган, както не се установяват и нарушения на КЗК, които да налагат отмяна на постановения акт. </w:t>
        <w:tab/>
        <w:br/>
        <w:tab/>
        <w:t xml:space="preserve">Неоснователни са оплакванията и относно преценката на направеното ценово предложение от избрания изпълнител. Неразделна част от ценовото предложение на класирания на първо място участник са представените таблици с Разбивката на предлаганата цена по центрове за работа и дейности по ключови събития. Ценовото предложение е изготвено в пълно съответствие със съдържанието на Образец № 7, в т. ч. е налице и съгласие със условията поставени в образеца, посочена е обща цена за изпълнение и е направена разбивка по съответните пера. Съгласно утвърдената методика за оценка на офертите, показателят ПT2 - Техническа оценка е със тежест 40 % от общите точки за оценка на офертата (КО). Максималната стойност на този показател се изчислява от сбора на подпоказателите К1 – Проектиране, К2 - Строителство и К3 - Координиране и взаимодействие при изпълнение на договора. Точките по първите два подпоказателя К1 и К2 се изчисляват по формула, а за К3 - Координиране и взаимодействие при изпълнение на договора е налице утвърдена скала за оценка посочена в таблица. В тази връзка, съгласно утвърдената методиката за оценка, за подпоказател К3 не е предвидено оценяването да се извършва по експертна оценка, а посредством упоменатата вече оценителна скала, отчитаща наличието или не на съответни компоненти, предвид което не е необходимо изготвяне на сочените от жалбоподателя "оценителни таблици" за всеки от членовете на комисията. В Протокол № 7 на назначената от възложителя комисия е отразено оценяването на офертите на участниците по показателя ПT2 - Техническа оценка. Комисията е пресметнала точките на участниците за подпоказатели К1 и К2 съгласно утвърдената в методиката за оценка формула. За подпоказател К3 - Координиране и взаимодействие при изпълнение на договора, комисията е изложила мотиви за присъдените точки за всеки от участниците. В тази връзка мотивите и за двамата участници са напълно еднакви. Помощният орган на възложителя е изложил мотиви, свидетелстващи наличието на аналитична дейност от страна на комисията. </w:t>
        <w:tab/>
        <w:br/>
        <w:tab/>
        <w:t xml:space="preserve">Решението на КЗК е правилно е следва да бъде оставено в сила. </w:t>
        <w:tab/>
        <w:br/>
        <w:tab/>
        <w:t xml:space="preserve">На възложителя се следват разноски в размер на 200 лв. юрисконсултско възнаграждение за тази инстанция. "ИРТМС КА Волуяк" ДЗЗД не представят доказателства за направени разноски и не следва да им бъдат присъждани. </w:t>
        <w:tab/>
        <w:br/>
        <w:tab/>
        <w:t xml:space="preserve">По изложените съображения и на основание чл. 221 ал. 2 от АПК, Върховен административен съд, четвърто отделение </w:t>
        <w:tab/>
        <w:br/>
        <w:tab/>
        <w:t xml:space="preserve">РЕШИ: </w:t>
        <w:tab/>
        <w:br/>
        <w:tab/>
        <w:t xml:space="preserve"> </w:t>
        <w:tab/>
        <w:br/>
        <w:tab/>
        <w:t xml:space="preserve">ОСТАВЯ В СИЛА решение №237 от 21.02.2019г. на Комисията за защита на конкуренцията/КЗК/ по преписка №К-46 от 2019г. </w:t>
        <w:tab/>
        <w:br/>
        <w:tab/>
        <w:t xml:space="preserve">ОСЪЖДА Консорциум "ТП София-Волуяк", гр. С., представляван от Х.М с участници в консорциума "Т. А"ГМБХ и "П. Б" ЕАД, гр. С., с процесуален представител адвокат Пачаманов да заплати на ДП "Национална компания "Железопътна инфраструктура"София, представлявано от К.П и юрисконсулт Арнаудова сумата 200 лв. разноски за тази инстанция - юрисконсултско възнагрждение. </w:t>
        <w:tab/>
        <w:br/>
        <w:tab/>
        <w:t xml:space="preserve">РЕШЕНИЕТО е окончателно. </w:t>
        <w:tab/>
        <w:br/>
        <w:tab/>
        <w:t xml:space="preserve">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