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Становище от 27.04.2021 по конст. д. № 13/2019 на Конституционен съд на РБ на Георги Ангелов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СТАНОВИЩЕ</w:t>
        <w:tab/>
        <w:br/>
        <w:tab/>
        <w:t xml:space="preserve"> на съдията ГЕОРГИ АНГЕЛОВ</w:t>
        <w:tab/>
        <w:br/>
        <w:tab/>
        <w:t xml:space="preserve"> по к. д. № 13/2019 г.</w:t>
        <w:tab/>
        <w:br/>
        <w:tab/>
        <w:t xml:space="preserve"> Съгласявайки се с решението, струва ми се необходимо да допълня следното.</w:t>
        <w:tab/>
        <w:br/>
        <w:tab/>
        <w:t xml:space="preserve"> I. По законодателната процедура.</w:t>
        <w:tab/>
        <w:br/>
        <w:tab/>
        <w:t xml:space="preserve"> 1. Оспорените разпоредби са приети със Закона за изменение на Закона за държавния бюджет на Република България за 2019 г. (обн., ДВ, бр. 60 от 30.07.2019 г.)</w:t>
        <w:tab/>
        <w:br/>
        <w:tab/>
        <w:t xml:space="preserve"> 2. Съгласно чл. 81 от Закона за публичните финанси, със законопроекта за държавния бюджет Министерският съвет може да предлага изменения и допълнения в други закони само когато те са свързани със съставянето, изпълнението и отчитането на консолидираната фискална програма. </w:t>
        <w:tab/>
        <w:br/>
        <w:tab/>
        <w:t xml:space="preserve"> И преди, и по време на действието на тази норма Конституционният съд е сочил (решение № 1 от 2011 г.; решение № 10 от 2012 г.; т. III.3. от решение № 1 от 2020 г.), че поради особения по предмет и по време характер на регулираните обществени отношения, условие за промяната с бюджетен закон на друг закон е тя да се отразява пряко и непосредствено върху приходите и/или разходите тъкмо в приемания бюджет, т. е. да е необходима предпоставка за него, без която той да не би могъл да бъде в предлагания си вид.</w:t>
        <w:tab/>
        <w:br/>
        <w:tab/>
        <w:t xml:space="preserve"> Министерският съвет е единствен носител на законодателна инициатива за държавния бюджет - чл. 87, ал. 2 от Конституцията. По тази причина условието в чл. 81 ЗПФ не може да бъде преодоляно при разглеждането на законопроекта за бюджета в парламента.</w:t>
        <w:tab/>
        <w:br/>
        <w:tab/>
        <w:t xml:space="preserve"> 3. Единствената промяна в държавния бюджет за 2019 г., извършена със закона за изменението му, е в неговия чл. 64, с която годишният размер на държавната субсидия за един получен действителен глас съгласно ЗПП е намалена от 11 на 1 лв. За тази промяна в бюджета не е била необходима нито една от оспорените разпоредби, намалението е могло да стане и без тях. Разпоредбите, следователно, не са свързани с конкретния бюджет. Те са разгледани и приети в нарушение на чл. 81 ЗПП. Могли са да бъдат разгледани от парламента само като самостоятелен законопроект, а не като изменение на бюджетния закон, с който нямат собствена връзка.</w:t>
        <w:tab/>
        <w:br/>
        <w:tab/>
        <w:t xml:space="preserve"> 4. Чл. 4, ал. 1, изр. 2 от Конституцията постановява, че Република България се управлява според нея и законите на страната. По време на своето действие законите са не пожелателни, а еднакво задължителни за всичките си адресати, включително когато адресатите са органи на власт. Напускането от Народното събрание на пределите на ограничената му от чл. 81 ЗПФ компетентност е основание за противоконституционността на всички оспорени разпоредби поради нарушаване на императива на чл. 4, ал. 1, изр. 2, предл. 2 от Конституцията да се управлява според закона. Напускането на компетентността компрометира конституционния принцип за подчиненост на всички, включително на Народното събрание, на правото. Подминаването от Конституционния съд на нарасналото в последните години неглижиране на норми от законодателната процедура е тревожно.</w:t>
        <w:tab/>
        <w:br/>
        <w:tab/>
        <w:t xml:space="preserve"> II. Някои бележки по съществото на оспорените разпоредби.</w:t>
        <w:tab/>
        <w:br/>
        <w:tab/>
        <w:t xml:space="preserve"> 1. Дискрецията на законодателя при определянето на държавната субсидия не е неограничена. Субсидията трябва да действа не символично, а реално. По тази причина тя следва да има минимален размер според необходимите и достатъчни към определен момент разходи за организацията и за обществената комуникация на партията. Субсидия под този размер не би съответствала на конституционната си функция.</w:t>
        <w:tab/>
        <w:br/>
        <w:tab/>
        <w:t xml:space="preserve"> 2. Едноличен търговец, по определението на чл. 56 от Търговския закон, може да бъде всяко дееспособно физическо лице с местожителство в страната. Правните понятия физическо лице и едноличен търговец са в съотношението на род към вид. Щом съгласно чл. 23, ал. 1, т. 3, предл. 1 партиите могат да получават дарения от всякакви физически лица, сред тях несъмнено са и едноличните търговци. Поставянето им в самостоятелен ред единствено поставя под съмнение законовото определение на едноличния търговец.</w:t>
        <w:tab/>
        <w:br/>
        <w:tab/>
        <w:t xml:space="preserve"> 3. Като субект на гражданското право, юридическото лице има свобода на стопанската си инициатива (чл. 19, ал. 1 и 2 от Конституцията). То може да се ползва от гражданските си, в цивилистичния смисъл на понятието, права, за да задоволява пряко или непряко своите интереси. Такива интерес несъмнено са имуществените последици за него от всяка политика. Затова не просто няма конституционна пречка, а съществува конституционно основание за финансирането на политически партии от юридически лица.</w:t>
        <w:tab/>
        <w:br/>
        <w:tab/>
        <w:t xml:space="preserve"> 4. От Конституцията обаче следват ограничения върху това финансиране, които пазят от изкривяване вектора гражданин – политическа партия – държавна власт. </w:t>
        <w:tab/>
        <w:br/>
        <w:tab/>
        <w:t xml:space="preserve"> А. Чл. 6, ал. 2, изр. 2 и чл. 11, ал. 1 от Конституцията изисква да има горна граница за даренията за политическите партии така, както и за физическите лица. Обратното подрива през имущественото състояние равенството в политическите права на гражданите и възможността им свободно да формират и изразяват своята политическа воля.</w:t>
        <w:tab/>
        <w:br/>
        <w:tab/>
        <w:t xml:space="preserve"> Б. Чл. 11, ал. 2 от Конституцията изключва финансирането на партии чрез дарения от: а/ самата държава; общините; държавни или общински органи - юридически лица; б/ юридически лица, които се разпореждат с публичен ресурс (държавни или общински предприятия или търговски дружества; търговски дружества, в които държавата или общините имат контрол); в/ юридически лица, които са придобили или са кандидати за придобиването на публичен ресурс (по обществени поръчки, концесии и пр.).</w:t>
        <w:tab/>
        <w:br/>
        <w:tab/>
        <w:t xml:space="preserve"> СЪДИЯ:</w:t>
        <w:tab/>
        <w:br/>
        <w:tab/>
        <w:t xml:space="preserve"> /Г. АНГЕЛОВ/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