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29.06.2021 по конст. д. № 11/2021 на Конституционен съд на РБ, докладвано от Надежда Джелепова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29 юни 2021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Милена Петрова разгледа в закрито заседание на 29 юни 2021 г. конституционно дело № 11/2021 г., докладвано от съдията Надежда Джелепова.</w:t>
        <w:tab/>
        <w:br/>
        <w:tab/>
        <w:t xml:space="preserve"> Производството е по чл. 149, ал. 1, т. 2 от Конституцията на Република България и е във фазата на произнасяне по допустимост на искането по реда на чл. 19, ал. 1 от Закона за Конституционен съд (ЗКС).</w:t>
        <w:tab/>
        <w:br/>
        <w:tab/>
        <w:t xml:space="preserve"> Делото е образувано на 4.06.2021 г. по искане на омбудсмана на Република България за установяване на противоконституционност на чл. 148, ал. 16 и чл. 178, ал. 3, т. 5 от Закона за устройство на територията (ЗУТ) (обн., ДВ, бр. 1 от 2.01.2001 г., поел. изм. и доп., бр. 21 от 12.03.2021 г.). С писмено уточнение от 10.06.2021 г. вносителят е конкретизирал петитума на искането по отношение на чл. 178, ал. 3, т. 5 ЗУТ, като е посочил, че оспорва разпоредбата само в частта „в териториите със средно и високо застрояване, както и".</w:t>
        <w:tab/>
        <w:br/>
        <w:tab/>
        <w:t xml:space="preserve">Според омбудсмана създадените с разпоредбите препятствия за упражняване на правомощията на собственика за застрояване на урегулирания поземлен имот и за ползване на завършения строеж представляват прекомерна намеса в правото на собственост в противоречие с чл. 17, ал. 1 и 3 от Конституцията.</w:t>
        <w:tab/>
        <w:br/>
        <w:tab/>
        <w:t xml:space="preserve">В искането се посочва, че съгласно чл. 148, ал. 16 ЗУТ издаването на разрешението за строеж от административния орган се обуславя от изпълнението на собственото му задължение за прилагане на плана за улична регулация, като правомощието на собственика се поставя в зависимост от неограничената свобода на преценка на общинската администрация. Поддържа се, че такова ограничаване на правото на собственост е несъразмерно, тъй като освен че не е обвързано със срок, то не предоставя на гражданите възможността сами да изпълнят въведеното с разпоредбата на чл. 148, ал. 16 ЗУТ изискване. Вносителят изтъква, че това условие принуждава собствениците да използват други, формално допустими от закона способи, както и да финансират отчуждителните процедури с цел преодоляване на пречката за издаване на разрешение за строеж.</w:t>
        <w:tab/>
        <w:br/>
        <w:tab/>
        <w:t xml:space="preserve">Във връзка с чл. 178, ал. 3, т. 5 ЗУТ, оспорен в частта „в териториите със средно и високо застрояване, както и", е направен извод, че забраната за въвеждане в експлоатация на строежите в тези зони до изграждането на улици, пътища и алеи, заедно с изискването на чл. 148, ал. 16 ЗУТ, предвижда ограничения, които не съответстват на преследваната от законодателя цел - създаване на инфраструктура паралелно със застрояването на поземления имот. Според вносителя уредбата не определя ясно степента на намеса в упражняване на правото на собственост и не отговаря на изискването мярката, с която се налагат ограничения, да бъде с възможно най-нисък интензитет, поради което противоречи на чл. 17, ал. 1 и 3 от Конституцията.</w:t>
        <w:tab/>
        <w:br/>
        <w:tab/>
        <w:t xml:space="preserve">Конституционният съд, за да се произнесе по допустимостта на искането, съобрази следното:</w:t>
        <w:tab/>
        <w:br/>
        <w:tab/>
        <w:t xml:space="preserve">Искането е направено от легитимен субект на инициатива съгласно чл. 150, ал. 3 от Конституцията. То е в обхвата на правомощието на омбудсмана да сезира Конституционния съд, тъй като е насочено към установяване на противоконституционност на законови разпоредби, за които се твърди, че накърняват основни права на гражданите, каквото е правото на собственост.</w:t>
        <w:tab/>
        <w:br/>
        <w:tab/>
        <w:t xml:space="preserve">Предмет на искането е установяване на противоконституционност на разпоредби от действащ закон, което е правомощие на Конституционния съд по чл. 149, ал. 1, т. 2 от Конституцията. По този предмет Конституционният съд не се е произнасял с решение или определение, включително и по неговата допустимост, поради което не е налице отрицателната процесуална предпоставка по чл. 21, ал. 6 ЗКС.</w:t>
        <w:tab/>
        <w:br/>
        <w:tab/>
        <w:t xml:space="preserve">Искането има изискуемите от чл. 17, ал. 1 и 2 от ЗКС и чл. 18, ал. 1 и 2 от Правилника за организацията на дейността на Конституционния съд (ПОДКС) форма и реквизити.</w:t>
        <w:tab/>
        <w:br/>
        <w:tab/>
        <w:t xml:space="preserve">Съдът приема, че при тези данни искането следва да бъде допуснато за разглеждане по същество.</w:t>
        <w:tab/>
        <w:br/>
        <w:tab/>
        <w:t xml:space="preserve">На основание чл. 20а, an. 1 ПОДКС съдът приема, че с оглед предмета на направеното искане следва да конституира като заинтересувани институции, които да представят становища по делото, Народното събрание, президента, Министерския съвет, Върховния административен съд, Върховния касационен съд, министъра на регионалното развитие и благоустройството и Висшия адвокатски съвет.</w:t>
        <w:tab/>
        <w:br/>
        <w:tab/>
        <w:t xml:space="preserve"> Съдът намира, че на основание чл. 20а, ал. 2 ПОДКС следва да бъде отправена покана да предложат становища по предмета на делото следните неправителствени, съсловни, синдикални и други организации: Камарата на архитектите в България, Камарата на инженерите в инвестиционното проектиране, Съюза на архитектите в България, Съюза на ландшафтните архитекти, Националната асоциация на строителните предприемачи, Асоциацията на българските административни съдии и Националното сдружение на общините в Република България.</w:t>
        <w:tab/>
        <w:br/>
        <w:tab/>
        <w:t xml:space="preserve">На основание чл. 20а, ал. 3 ПОДКС съдът преценява, че следва да бъде отправена покана да дадат писмено правно мнение по предмета на делото следните изтъкнати специалисти от науката и практиката: проф. д. ю.н Екатерина Матеева, проф. д. ю.н Иван Русчев, проф. д. ю.н Цветан Сивков, проф. д-р Борислав Борисов, проф. д-р Венцислав Стоянов, проф. д-р Дарина Зиновиева, проф. д-р Димитър Костов, проф. д-р Емилия Панайотова, проф. д-р Павел Сарафов проф. д-р Пенчо Пенев, проф. д-р Пламен Киров, проф. д-р Снежана Начева, проф. д-р Христина Балабанова, доц. д-р Златимир Орсов, доц. д-р Наталия Киселова и Савин Ковачев.</w:t>
        <w:tab/>
        <w:br/>
        <w:tab/>
        <w:t xml:space="preserve">По изложените съображения и на основание чл. 19, ал. 1 ЗКС, Конституционният съд</w:t>
        <w:tab/>
        <w:br/>
        <w:tab/>
        <w:t xml:space="preserve"> ОПРЕДЕЛИ:</w:t>
        <w:tab/>
        <w:br/>
        <w:tab/>
        <w:t xml:space="preserve">Допуска за разглеждане по същество искането на омбудсмана на Република България за установяване на противоконституционност на чл. чл. 148, ал. 16 и на чл. 178, ал. 3, т. 5 в частта „в териториите със средно и високо застрояване, както и" от Закона за устройство на територията (обн., ДВ,бр. 1 от 2.01.2001 г., поел. изм. и доп., бр. 21 от 12.03.2021 г.).</w:t>
        <w:tab/>
        <w:br/>
        <w:tab/>
        <w:t xml:space="preserve">Конституира като заинтересувани институции по делото Народното събрание, президента, Министерския съвет, Върховния административен съд, Върховния касационен съд, министъра на регионалното развитие и благоустройството и Висшия адвокатски съвет, на които да се изпратят преписи от искането и от определението, като им се дава възможност в 30- дневен срок да представят писмени становища по предмета на делото.</w:t>
        <w:tab/>
        <w:br/>
        <w:tab/>
        <w:t xml:space="preserve">Отправя покана до Камарата на архитектите в България, Камарата на инженерите в инвестиционното проектиране, Съюза на архитектите в България, Съюза на ландшафтните архитекти, Националната асоциация на строителните предприемачи, Асоциацията на българските административни съдии и Националното сдружение на общините в Република България, на които да се изпратят преписи от искането и от определението, в 30-дневен срок да предложат становища по предмета на делото.</w:t>
        <w:tab/>
        <w:br/>
        <w:tab/>
        <w:t xml:space="preserve">Отправя покана до проф. д. ю.н Екатерина Матеева, проф. д. ю.н Иван Русчев, проф. д. ю.н Цветан Сивков, проф. д-р Борислав Борисов, проф. д-р Венцислав Стоянов, проф. д-р Дарина Зиновиева, проф. д-р Димитър Костов, проф. д-р Емилия Панайотова, проф. д-р Павел Сарафов, проф. д-р Пенчо Пенев, проф. д-р Пламен Киров, проф. д-р Снежана Начева, проф. д - р Христина Балабанова, доц. д-р Златимир Орсов, доц. д-р Наталия Киселова и Савин Ковачев, на които да се изпратят преписи от искането и от определението, в 30-дневен срок да дадат писмено правно мнение по предмета на делото.</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