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27.06.2017 по конст. д. № 4/2017 на Конституционен съд на РБ, докладвано от Георги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27 юни 2017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при участието на секретар-протоколиста Кристина Енчева разгледа в закрито заседание на 27 юни 2017 г. конституционно дело № 4 /2017 г., докладвано от съдията Георги Ангелов.</w:t>
        <w:tab/>
        <w:br/>
        <w:tab/>
        <w:t xml:space="preserve">Постъпило е искане от тричленен състав на Върховния административен съд за установяване на противоконституционност на чл. 214, ал. 2 от Закона за Министерството на вътрешните работи (обн., ДВ, бр. 53 от 27.06.2014 г., посл. изм. бр. 26 от 28.03.2017 г.).</w:t>
        <w:tab/>
        <w:br/>
        <w:tab/>
        <w:t xml:space="preserve">Производството е по чл. 149, ал. 1, т. 2, предл. 1 от Конституцията на Република България във фазата по допустимостта на искането.</w:t>
        <w:tab/>
        <w:br/>
        <w:tab/>
        <w:t xml:space="preserve">Искането е направено след обнародване на оспорената разпоредба.</w:t>
        <w:tab/>
        <w:br/>
        <w:tab/>
        <w:t xml:space="preserve">Подателят на искането твърди, че тя противоречи на чл. 16, чл. 48 и чл. 51, ал. 1 от Конституцията относно правото на труд и правото на обществено осигуряване, както и на принципите на пропорционалност и правна сигурност, като е изложил мотиви за противоречието.</w:t>
        <w:tab/>
        <w:br/>
        <w:tab/>
        <w:t xml:space="preserve">Искането е подадено от оправомощен по чл. 150, ал. 2 от Конституцията на Република България субект за сезиране на Конституционния съд.</w:t>
        <w:tab/>
        <w:br/>
        <w:tab/>
        <w:t xml:space="preserve">Произнасянето по искането е в правомощията на съда. По него не е постановявано решение, нито определение за недопустимостта му. То има изискуемите се от чл. 17, ал. 1 и 2 от Закона за Конституционен съд и чл. 18, ал. 1 и 2 от Правилника за организацията на дейността на Конституционния съд форма и реквизити и следва да се допусне до разглеждане по същество.</w:t>
        <w:tab/>
        <w:br/>
        <w:tab/>
        <w:t xml:space="preserve">Като заинтересувани институции следва да се конституират Народното събрание, Министерският съвет, министърът на вътрешните работи, министърът на труда и социалната политика, министърът на финансите, министърът на правосъдието, Върховният административен съд и Висшият адвокатски съвет.</w:t>
        <w:tab/>
        <w:br/>
        <w:tab/>
        <w:t xml:space="preserve">За писмени становища следва да се поканят Националният синдикат на гражданската администрация в МВР, Националният полицейски синдикат, Сдружение „Национален синдикат на пожарникарите и спасителите „Огнеборец”, Синдикална федерация на служителите в МВР, Сдружение „Синдикат на служителите в МВР”, Сдружение Синдикален алианс „Сигурност” в МВР, Съюзът на юристите в България, Фондация асоциация за европейска интеграция и права на човека, Български адвокати за правата на човека и Българският хелзинкски комитет.</w:t>
        <w:tab/>
        <w:br/>
        <w:tab/>
        <w:t xml:space="preserve">За правни мнения следва да се поканят проф. д-р Васил Мръчков, проф. д-р Красимира Средкова, проф. д-р Емил Мингов, проф. д-р Веселин Вучков, проф. д-р Цветан Сивков и доц. д-р Емилия Панайотова.</w:t>
        <w:tab/>
        <w:br/>
        <w:tab/>
        <w:t xml:space="preserve">Воден от това и на основание чл. 19, ал. 1 от Закона за Конституционен съд съдът</w:t>
        <w:tab/>
        <w:br/>
        <w:tab/>
        <w:t xml:space="preserve">ОПРЕДЕЛИ: </w:t>
        <w:tab/>
        <w:br/>
        <w:tab/>
        <w:t xml:space="preserve">Допуска за разглеждане по същество искането на тричленен състав на Върховния административен съд за установяване на противоконституционност на чл. 214, ал. 2 от Закона за министерството на вътрешните работи (обн., ДВ, бр. 53 от 27.06.2014 г., посл. изм. бр. 26 от 28.03.2017 г.).</w:t>
        <w:tab/>
        <w:br/>
        <w:tab/>
        <w:t xml:space="preserve">Конституира като заинтересувани институции Народното събрание, Министерския съвет, министъра на вътрешните работи, министъра на труда и социалната политика, министъра на финансите, министъра на правосъдието, Върховния административен съд и Висшия адвокатски съвет.</w:t>
        <w:tab/>
        <w:br/>
        <w:tab/>
        <w:t xml:space="preserve">Препис от определението да се изпрати на състава на Върховния административен съд с указание, че в 30-дневен срок може да представи допълнителни съображения по искането си.</w:t>
        <w:tab/>
        <w:br/>
        <w:tab/>
        <w:t xml:space="preserve">Преписи от искането и от определението да се изпратят на заинтересуваните институции с указание в 30-дневен срок от получаването им да представят писмени становища.</w:t>
        <w:tab/>
        <w:br/>
        <w:tab/>
        <w:t xml:space="preserve">Отправя покана до Националния синдикат на гражданската администрация в МВР, Националния полицейски синдикат, Сдружение „Национален синдикат на пожарникарите и спасителите „Огнеборец”, Синдикална федерация на служителите в МВР, Сдружение „Синдикат на служителите в МВР” и Сдружение Синдикален алианс „Сигурност” в МВР, Съюза на юристите в България, Фондация асоциация за европейска интеграция и права на човека, Български адвокати за правата на човека и Българския хелзинкски комитет, които в 30-дневен срок могат да представят писмени становища.</w:t>
        <w:tab/>
        <w:br/>
        <w:tab/>
        <w:t xml:space="preserve">Отправя покана до проф. д-р Васил Мръчков, проф. д-р Красимира Средкова, проф. д-р Емил Мингов, проф. д-р Веселин Вучков, проф. д-р Цветан Сивков и доц. д-р Емилия Панайотова, които в 30-дневен срок могат да представят писмени правни мнения.</w:t>
        <w:tab/>
        <w:br/>
        <w:tab/>
        <w:t xml:space="preserve">Преписи от искането и определението да се изпратят на поканените.</w:t>
        <w:tab/>
        <w:br/>
        <w:tab/>
        <w:t xml:space="preserve"> 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