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27.06.2017 по конст. д. № 3/2017 на Конституционен съд на РБ, докладвано от Кети Маркова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27 юни 2017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Борис Велчев</w:t>
        <w:tab/>
        <w:br/>
        <w:tab/>
        <w:t xml:space="preserve">Членове:</w:t>
        <w:tab/>
        <w:br/>
        <w:tab/>
        <w:t xml:space="preserve">при участието на секретар-протоколиста Росица Симова разгледа в закрито заседание на 27 юни 2017 г. конституционно дело № 3/2017 г., докладвано от съдията Кети Маркова.</w:t>
        <w:tab/>
        <w:br/>
        <w:tab/>
        <w:t xml:space="preserve">Производството е по чл. 149, ал. 1, т. 2 от Конституцията на Република България.</w:t>
        <w:tab/>
        <w:br/>
        <w:tab/>
        <w:t xml:space="preserve">Делото е образувано по искане на омбудсмана на Република България, който упражнявайки правомощията си по чл. 150, ал. 3 от Конституцията, е сезирал Конституционния съд за установяване на противоконституционност на чл. 245, ал. 1 от Кодекса на труда (КТ), (обн. ДВ, бр. 26 от 1986г. и ДВ, бр. 27 от 1986г., последно изм. и доп. ДВ, бр. 105 от 2016г.), в частта „в размер 60 на сто от брутното му трудово възнаграждение, но не по-малко от минималната работна заплата за страната“ .</w:t>
        <w:tab/>
        <w:br/>
        <w:tab/>
        <w:t xml:space="preserve">В искането се поддържа, че в оспорената си част разпоредбата е в противоречие с чл. 16, чл. 48, ал. 1 и 5, както и с принципите на правовата и на социалната държава, прогласени с Преамбюла и чл. 4, ал. 1 от Конституцията. Изтъква се, че с атакуваното законодателно разрешение се подменя действащата конституционна уредба, според която заплащането на работниците и служителите следва да е съответстващо на извършената работа, при условия и по ред, определени със закон. Вместо това се допуска изплащането на един различен, намален размер на трудовото възнаграждение, установен с нормата на чл. 245, ал. 1 КТ, а именно 60 на сто от брутното, но не по - малко от минималната работна заплата, установена за страната.</w:t>
        <w:tab/>
        <w:br/>
        <w:tab/>
        <w:t xml:space="preserve">Производството е във фазата по допустимостта на искането.</w:t>
        <w:tab/>
        <w:br/>
        <w:tab/>
        <w:t xml:space="preserve">Искането е допустимо.</w:t>
        <w:tab/>
        <w:br/>
        <w:tab/>
        <w:t xml:space="preserve">Негов вносител е държавен орган, който по силата на чл. 150, ал. 3 от Конституцията е компетентен да сезира Конституционния съд, като инициира производство за установяване на противоконституционност на закон, с който се нарушават права и свободи на гражданите - в случая относно правото им на труд, като работници и служители.</w:t>
        <w:tab/>
        <w:br/>
        <w:tab/>
        <w:t xml:space="preserve">Искането отговаря на изискванията на чл. 17, ал. 1 и чл. 18 от Закона за конституционен съд (ЗКС) и чл. 18 от Правилника за организацията на дейността на Конституционния съд (ПОДКС), по отношение на неговата форма, реквизити, съдържание и предмет.</w:t>
        <w:tab/>
        <w:br/>
        <w:tab/>
        <w:t xml:space="preserve">Конституционният съд не се е произнасял по поставения с искането конкретен въпрос, решаването по същество на който е в неговите правомощия, съгласно чл. 149, ал. 1, т. 2 от Конституцията.</w:t>
        <w:tab/>
        <w:br/>
        <w:tab/>
        <w:t xml:space="preserve">При тези данни Конституционният съд намира, че следва да допусне разглеждането му по същество.</w:t>
        <w:tab/>
        <w:br/>
        <w:tab/>
        <w:t xml:space="preserve">С оглед предмета на настоящото конституционно дело, на основание чл. 20а, ал. 1 ПОДКС, като заинтересувани институции в производството следва да бъдат конституирани: Народното събрание, Върховният касационен съд, Върховният административен съд, Министерският съвет, министърът на правосъдието, министърът на финансите, министърът на труда и социалната политика, Агенцията по заетостта, Изпълнителната агенция „Главна инспекция по труда“, Висшият адвокатски съвет.</w:t>
        <w:tab/>
        <w:br/>
        <w:tab/>
        <w:t xml:space="preserve">На основание чл. 20а, ал. 2 ПОДКС Конституционният съд прие, че като заинтересувани от предмета на спора следва да покани да предложат становище по делото: Конфедерацията на независимите синдикати в България, Конфедерацията на труда „Подкрепа“, Съюзът на синдикатите в Обединение „Промяна“, Съюзът на юристите в България, Български адвокати за правата на човека, Българският хелзинкски комитет, Асоциацията по европейска интеграция и права на човека, Институтът за модерна политика, Българската търговско - промишлена палата, Българската стопанска камара, Конфедерацията на работодателите и индустриалците в България, Асоциацията на индустриалния капитал в България.</w:t>
        <w:tab/>
        <w:br/>
        <w:tab/>
        <w:t xml:space="preserve">На основание чл. 20а, ал. 3 ПОДКС, да дадат правно мнение по предмета на делото, следва да бъдат поканени: Проф. д-р Красимира Средкова, проф. д-р Емил Мингов, проф. д-р Атанас Василев, доц. д-р Нина Гевренова, доц. д-р Илиян Шотлеков и Иван Нейков.</w:t>
        <w:tab/>
        <w:br/>
        <w:tab/>
        <w:t xml:space="preserve">Воден от изложените съображения и на основание чл. 149, ал. 1, т. 2 от Конституцията и чл. 19, ал. 1 ЗКС, Конституционният съд на Република България</w:t>
        <w:tab/>
        <w:br/>
        <w:tab/>
        <w:t xml:space="preserve">О П Р Е Д Е Л И :</w:t>
        <w:tab/>
        <w:br/>
        <w:tab/>
        <w:t xml:space="preserve">ДОПУСКА за разглеждане по същество искането на омбудсмана на Република България за установяване на противоконституционност на чл. 245, ал. 1 от Кодекса на труда, (обн. ДВ, бр. 26 от 1986г. и ДВ, бр. 27 от 1986г., последно изм. и доп. ДВ, бр. 105 от 2016г.), в частта „ в размер 60 на сто от брутното му трудово възнаграждение, но не по - малко от минималната работна заплата за страната“ .</w:t>
        <w:tab/>
        <w:br/>
        <w:tab/>
        <w:t xml:space="preserve">КОНСТИТУИРА като заинтересувани институции: Народното събрание, Върховния касационен съд, Върховния административен съд, Министерския съвет, министъра на правосъдието, министъра на финансите, министъра на труда и социалната политика, Агенцията по заетостта, Изпълнителната агенция „Главна инспекция по труда“, Висшия адвокатски съвет.</w:t>
        <w:tab/>
        <w:br/>
        <w:tab/>
        <w:t xml:space="preserve">Преписи от искането и определението да се изпратят на заинтересуваните институции, които да бъдат уведомени, че в 30- дневен срок от получаването им, следва да представят писмени становища.</w:t>
        <w:tab/>
        <w:br/>
        <w:tab/>
        <w:t xml:space="preserve">ОТПРАВЯ ПОКАНА до: Конфедерацията на независимите синдикати в България, Конфедерацията на труда „Подкрепа“, Съюза на синдикатите в Обединение „Промяна“, Съюза на юристите в България, Български адвокати за правата на човека, Българския хелзинкски комитет, Асоциацията по европейска интеграция и права на човека, Института за модерна политика, Българската търговско - промишлена палата, Българската стопанска камара, Конфедерацията на работодателите и индустриалците в България, Асоциацията на индустриалния капитал в България, на които да се изпратят преписи от искането и определението, с указание, че в 30- дневен срок от получаването им могат да представят писмени становища по делото.</w:t>
        <w:tab/>
        <w:br/>
        <w:tab/>
        <w:t xml:space="preserve">ОТПРАВЯ ПОКАНА до: Проф. д-р Красимира Средкова, проф. д-р Емил Мингов, проф. д-р Атанас Василев, доц. д-р Нина Гевренова, доц. д-р Илиян Шотлеков и Иван Нейков, на които да се изпратят преписи от искането и определението, с указание, че в 30- дневен срок от получаването им могат да представят писмени правни мнения.</w:t>
        <w:tab/>
        <w:br/>
        <w:tab/>
        <w:t xml:space="preserve">Препис от определението да се изпрати и на вносителя, с възможност в същия срок да представи доказателства и изложи допълнителни съображения в подкрепа на искането си.</w:t>
        <w:tab/>
        <w:br/>
        <w:tab/>
        <w:t xml:space="preserve">Определението е подписано с едно особено мнение на съдията Гроздан Илиев.</w:t>
        <w:tab/>
        <w:br/>
        <w:tab/>
        <w:t xml:space="preserve"> Председател: Борис Велчев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