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№1824/23.06.2023 по гр. д. №2311/2023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№1824</w:t>
        <w:tab/>
        <w:br/>
        <w:tab/>
        <w:t xml:space="preserve"/>
        <w:tab/>
        <w:br/>
        <w:tab/>
        <w:t xml:space="preserve"> Гр. София, 23.06.2023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19.06.23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№2311/23 г., намира следното:</w:t>
        <w:tab/>
        <w:br/>
        <w:tab/>
        <w:t xml:space="preserve"/>
        <w:tab/>
        <w:br/>
        <w:tab/>
        <w:t xml:space="preserve"> Производството пред ВКС е образувано по касационна жалба на „Господинови Комерс“ООД, [населено място] срещу въззивното решение от 7.12.22 г. по гр. д. №5671/22 г. на СГС, с което е потвърдено първоинстанционното решение по гр. д. №49010/20 г. от 25.05.21 г. за уважаване на предявените от В. Г. срещу касатора искове с пр. осн. чл. 344, ал. 1, т. 1-3 КТ и са присъдени разноски на касатора в размер на 142, 80 лв., наместо първоначално присъдените му с опр. от 9.03.22 г. по първоинстанционното дело 513, 74 лв. Касационното дело е насрочено в закрито заседание по чл. 288 ГПК за 8.11.23 г.</w:t>
        <w:tab/>
        <w:br/>
        <w:tab/>
        <w:t xml:space="preserve"/>
        <w:tab/>
        <w:br/>
        <w:tab/>
        <w:t xml:space="preserve"> С молба №6500/7.06.23 г. ищецът В. Г. лично е заявил, че прави отказ от предявените искове и моли да бъдат обезсилени постановените от двете инстанции решения и определението за разноски на първоинстанционния съд.</w:t>
        <w:tab/>
        <w:br/>
        <w:tab/>
        <w:t xml:space="preserve"/>
        <w:tab/>
        <w:br/>
        <w:tab/>
        <w:t xml:space="preserve"> Поради десезирането на съда от спора и на осн. чл. 233 ГПК, ВКС на РБ, трето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ОБЕЗСИЛВА постановените по предявените искове въззивно решение от 7.12.22 г. по гр. д. №5671/22 г. на Софийски градски съд, потвърденото с него решение от 25.05.21 г. и допълнително решение от 19.10.21 г. на Софийски районен съд по гр. д. №49010/20 г., както и постановеното по същото дело определение за разноски от 9.03.22 г. и прекратява производството по делото поради отказ от исковете.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