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№265/23.09.2022 по гр. д. №2718/2022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265</w:t>
        <w:tab/>
        <w:br/>
        <w:tab/>
        <w:t xml:space="preserve"/>
        <w:tab/>
        <w:br/>
        <w:tab/>
        <w:t xml:space="preserve">гр. София, 23.09.2022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двадесети септември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2718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307 ГПК.</w:t>
        <w:tab/>
        <w:br/>
        <w:tab/>
        <w:t xml:space="preserve"/>
        <w:tab/>
        <w:br/>
        <w:tab/>
        <w:t xml:space="preserve"> Образувано е по молба за отмяна на определение за допускане на обезпечение на бъдещ иск, подадена от А. Р. К..</w:t>
        <w:tab/>
        <w:br/>
        <w:tab/>
        <w:t xml:space="preserve"/>
        <w:tab/>
        <w:br/>
        <w:tab/>
        <w:t xml:space="preserve"> Молбата е процесуално недопустима, по следните съображения:</w:t>
        <w:tab/>
        <w:br/>
        <w:tab/>
        <w:t xml:space="preserve"/>
        <w:tab/>
        <w:br/>
        <w:tab/>
        <w:t xml:space="preserve"> С определението, с което се допуска обезпечение на бъдещ иск не се разрешава материалноправен спор със сила на пресъдено нещо, като обезпечителните мерки, които се налагат в това производство имат временен характер и защитата против тях се изчерпва с приключването на предвидения в ГПК инстанционен контрол или отмяната им по реда на чл. 402 ГПК.</w:t>
        <w:tab/>
        <w:br/>
        <w:tab/>
        <w:t xml:space="preserve"/>
        <w:tab/>
        <w:br/>
        <w:tab/>
        <w:t xml:space="preserve"> Предвид изложеното, определението, с което са допуска обезпечение на бъдещ иск, както и самата обезпечителна заповед /доколкото така е заявено в молбата/, не подлежи на отмяна по реда на чл. 303 и сл. ГПК. Подадената молба е процесуално недопустима и следва да се остави без разглеждане.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молба за отмяна на определение за допускане на обезпечение на бъдещ иск, постановено по гр. д.№ 2377/2021 г. по описа на Районен съд [населено място], подадена от А. Р. К., като процесуално недопустима.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с частна жалба, в едноседмичен срок от връчването му на молителя.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