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№5725/18.05.2020 по адм. д. №12281/2019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община Б.д срещу Решение № 1742 от 30.07.2019 г. по адм. д. № 143/2019 г. на Административен съд - Благоевград, с което е отхвърлена жалбата на общината срещу Решение № РД-02-36-15/07.01.2019 г. на ръководителя на Управляващия орган на Оперативна програма „Региони в растеж” 2014-2020 г. (УО на ОПРР) и заместник-министър на регионалното развитие и благоустройството за определяне на финансова корекция. </w:t>
        <w:tab/>
        <w:br/>
        <w:tab/>
        <w:t xml:space="preserve">Касационният жалбоподател навежда доводи за недопустимост на съдебното решение в частта, с която съдът приел, че бенефициерът е допуснал нередността, описана в т. 2 от административния акт. Твърди, че административният орган не поддържа констатацията си за нередност по т. 2 и съдът се е произнесъл при липса на предмет. В останалата част счита, че решението е неправилно поради нарушение на материалния закон. В тази част иска решението да бъде отменено и вместо него касационната инстанция да постанови ново за отмяна на акта за финансова корекция. Претендира присъждане на разноски по водене на делото. </w:t>
        <w:tab/>
        <w:br/>
        <w:tab/>
        <w:t xml:space="preserve">Ответникът – ръководителят на Управляващия орган на Оперативна програма „Региони в растеж” 2014-2020 г. и заместник-министър на регионалното развитие и благоустройството, чрез процесуалния си представител изразява становище за неоснователност на касационната жалба и моли решението да бъде оставено в сила. Претендира разноски съгласно представен списък.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се запозна със събраните по делото доказателства, обсъди становищата на страните,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от АПК и срещу решение, което подлежи на обжалване, поради което е процесуално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С обжалваното решение административният съд е отхвърлил жалбата на община Б.д срещу Решение № РД-02-36-15/07.01.2019 г., с което на основание чл. 70, ал. 1, т. 9 от Закон за управление на средствата от Европейските структурни и инвестиционни фондове (ЗУСЕСИФ) на община Б.д е определена финансова корекция:1. в размер на 5 % от допустимите разходи по: </w:t>
        <w:tab/>
        <w:br/>
        <w:tab/>
        <w:t xml:space="preserve">Договор № BG16RFOP001-1. 008-0004-C01-S-02/05.04.2018 г. с изпълнител „ММ СТРОЙ“ ДЗЗД, на стойност 3 845 770, 11 лв. без ДДС по обособена позиция № 1 и </w:t>
        <w:tab/>
        <w:br/>
        <w:tab/>
        <w:t xml:space="preserve">Договор № BG16RFOP001-1. 008-0004-C01-S-03/10.04.2018 г. с изпълнител „БУЛПЛАН ИНВЕСТ“ ООД, на стойност 691 793, 68 лв. без ДДС по обособена позиция № 3; </w:t>
        <w:tab/>
        <w:br/>
        <w:tab/>
        <w:t xml:space="preserve">2. в размер на 10 % от допустимите разходи по Договор № BG16RFOP001-1. 008-0004-C01-S-04.12.04.2018 г. с изпълнител „КО-БИЛД“ ДЗЗД, на стойност 2 077 224, 21 лв. без ДДС по обособена позиция № 2. </w:t>
        <w:tab/>
        <w:br/>
        <w:tab/>
        <w:t xml:space="preserve">В административния акт има констатации за две нарушения: </w:t>
        <w:tab/>
        <w:br/>
        <w:tab/>
        <w:t xml:space="preserve">1. Нарушение на чл. 2, ал. 2 от ЗОП и чл. 59, ал. 2 от ЗОП, вр. чл. 2, ал. 1, т. 1 и 2 от ЗОП, допуснато чрез заложено ограничително изискване за професионален опит. Нарушението е квалифицирано като нередност по т. 9 и 10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 за посочване на нередности). Определен е процентен показател от 5 %. Според административния орган нарушението засяга и трите обособени позиции. </w:t>
        <w:tab/>
        <w:br/>
        <w:tab/>
        <w:t xml:space="preserve">2. Нарушение на чл. 107, т. 2, б. „а“ от ЗОП, чл. 57, ал. 5 от ЗОП и чл. 2, ал. 1, т. 1 и 2 от ЗОП - незаконосъобразно отстраняване на участник по обособена позиция № 2. Нарушението е квалифицирано като нередност по т. 14 и 16 от Приложение № 1 към чл. 2, ал. 1 от Наредба за посочване на нередности. Определен е процентен показател от 10 %. </w:t>
        <w:tab/>
        <w:br/>
        <w:tab/>
        <w:t xml:space="preserve">Съдът е извършил проверка на административния акт на основанията по чл. 146 АПК и е мотивирал извод за законосъобразност на акта за финансова корекция - обжалваното решение на ръководителя на УО е издадено от компетентен орган и в предвидената от закона форма, без допуснати нарушения на административнопроизводствените правила и в съответствие с материалния закон.Решението е валидно, допустимо и правилно. </w:t>
        <w:tab/>
        <w:br/>
        <w:tab/>
        <w:t xml:space="preserve">Неоснователни са оплакванията на касационния жалбоподател за недопустимост на съдебния акт. Във връзка с провеждането на обществената поръчка е регистриран сигнал за три нередности, допуснати от община Б.д. По т. 1 и 3 от сигнала ръководителят на УО е преценил, че поддържа констатациите за допуснати нередности, а по т. 2 е приел възраженията на бенефициера и е прекратил производството по сигнала. </w:t>
        <w:tab/>
        <w:br/>
        <w:tab/>
        <w:t xml:space="preserve">При проверка на акта за финансова корекция съдът е приел, че е издаден на основание допуснати три нередности, въпреки че органът има констатации само за две. Неправилното фактическо установяване, че органът поддържа констатацията за незаконосъобразна методика, с която е осъществен състав на нередност, както и правният извод, че констатацията е правилна, не се отразяват на допустимостта на решението, тъй като е правилен крайният извод на съда за законосъобразност на акта за финансова корекция и неоснователност на първоинстанционната жалба. Мотивите на съдебното решение не подлежат на самостоятелно оспорване. </w:t>
        <w:tab/>
        <w:br/>
        <w:tab/>
        <w:t xml:space="preserve">Неоснователни са оплакванията, че решението е неправилно поради нарушение на материалния закон. Съдът е мотивирал правилен и обоснован извод, че възложителят на обществената поръчка е допуснал констатираните в т. 1 и 3 от акта нарушения. </w:t>
        <w:tab/>
        <w:br/>
        <w:tab/>
        <w:t xml:space="preserve">Нарушението по т. 1 от акта се състои в поставянето на ограничително изискване. Като нарушени са посочени следните разпоредби на националното законодателство: чл. 2, ал. 2 от ЗОП и чл. 59, ал. 2 от ЗОП, вр. чл. 2, ал. 1, т. 1 и 2 от ЗОП. Нарушението засяга поставените критерии за подбор и по трите обособени позиции: </w:t>
        <w:tab/>
        <w:br/>
        <w:tab/>
        <w:t xml:space="preserve">за обособена позиция № 1: строителен инженер по пътно строителство – 1 бр. с професионален опит минимум 3 (три) години, или строителен техник – 1 бр. с професионален опит от 7 (седем) години; </w:t>
        <w:tab/>
        <w:br/>
        <w:tab/>
        <w:t xml:space="preserve">за обособена позиция № 2: строителен инженер по пътно строителство – 1 бр. с професионален опит минимум 3 (три) години, или строителен техник – 1 бр. с професионален опит от 5 (пет) години; </w:t>
        <w:tab/>
        <w:br/>
        <w:tab/>
        <w:t xml:space="preserve">за обособена позиция № 3: строителен инженер по пътно строителство – 1 бр. с професионален опит минимум 3 (три) години, или строителен техник – 1 бр. с професионален опит от 5 (пет) години. </w:t>
        <w:tab/>
        <w:br/>
        <w:tab/>
        <w:t xml:space="preserve">Според административния орган възложителя необосновано е определил различна продължителност на професионалния опит в зависимост от професионалната квалификация. Съдът правилно е възприел констатацията на органа, тъй като тя съответна на събраните по делото доказателства и приложимия материален закон. При очертаване на кръга на технически правоспособните лица в чл. 163а, ал. 2 от ЗУТ законодателят е извършил приравняване на професионалната квалификация – това са лица, получили дипломи от акредитирано висше училище с квалификация „строителен инженер, „инженер“ или „архитект“, както и лицата, със средно образование с 4-годишен курс на обучение и с придобита професионална квалификация в областите „Архитектура и строителство“ и „Техника“. Законодателят не поставя изисквания за минимален професионалния опит на технически правоспособни лица. </w:t>
        <w:tab/>
        <w:br/>
        <w:tab/>
        <w:t xml:space="preserve">Относно квалификацията на нарушението едновременно като нередност по т. 9 и 10 от Приложение № 1 към чл. 2, ал. 1 от Наредба за посочване на нередности, касационната инстанция приема, че не съставлява самостоятелно основание за отмяна на акта. Точка 9 визира „Неправомерни критерии за подбор и/или критерии за възлагане“. Точка 10 визира „Критериите за подбор не са свързани със и/или не са пропорционални на предмета на поръчката“. По случаи, аналогични на настоящия, съдебната практика приема (Решение № 400 от 12.01.2017 г. на ВАС по адм. д. № 8135/2016 г., VII о., Решение № 8654 от 10.06.2019 г. на ВАС по адм. д. № 9023/2018 г., VII о., Решение № 17002 от 12.12.2019 г. на ВАС по адм. д. № 5513/2019 г., VII о., Решение № 2692 от 19.02.2020 г. по адм. дело № 4135/2019 г.), че употребеният в точка 9 термин „неправомерни критерии“ формално е възможно най-общият, което значи, че поглъща и критериите, които не са свързани с предмета или не са пропорционални. Този извод е обоснован чрез тълкуване на смисъла на т. 9 и 10 – семантично и систематично, както и историческо тълкуване, за да се проследи произходът на разпоредбите, тъй като Приложение № 1 на чл. 2, ал. 1 от Наредба за посочване на нередности възпроизвежда Насоките за определяне на финансови корекции, които трябва да бъдат внесени във финансирани от Съюза разходи в рамките на споделеното управление, в случай на неспазване на правилата за възлагане на обществени поръчки, приети с решение на Комисията на Европейския съюз от 19.12.2013 г. С (2013) 9572. Визираните в точка 9 и 10 нарушения по отношение на критериите за подбор показват висока степен на идентичност, т. е. посочените от законодателя примери при липса на допълнителни уточнения не позволяват категорично и ясно разделянето на нарушенията, тъй като разграничителният критерий по точка 9 винаги ще поглъща този по точка 10. При това законодателно решение и след като нормативно установеният критерий не позволява обективно разделяне между двете групи нарушения, а размерът на финансовата корекция и по двете групи нарушения е идентичен, позоваването от органа едновременно на точка 9 и 10 не прави оспорения административен акт незаконосъобразен на това основание. </w:t>
        <w:tab/>
        <w:br/>
        <w:tab/>
        <w:t xml:space="preserve">Нарушението по т. 3 от акта съставлява незаконосъобразно отстраняване на участник по обособена позиция № 2. Като нарушени са посочени следните разпоредби на националното законодателство: чл. 107, т. 2, б. „а“ от ЗОП, чл. 57, ал. 5 от ЗОП и чл. 2, ал. 1, т. 1 и 2 от ЗОП. По делото не се спори, че отстраненият участник „Пиринстройинженеринг“ ЕАД е представило предложение по част Конструкции 4, 11 % среден гаранционен срок от обема СМР. На основание чл. 104, ал. 5 ЗОП комисията е изискала от участника разяснения относно формиране на предложения среден гаранционен срок. Представен е отговор на участника с приложени към него разяснения, дадени от проектанта на обектите „И. П. К“ ООД. Според помощния орган използването на разяснения, дадени от проектанта на обектите, е довело до по-благоприятно положение на „Пиринстройинженеринг“ ЕАД спрямо другите участници в обособената позиция. Участникът е отстранен на основание чл. 107, т. 2, б. „а“ ЗОП, без обаче възложителят да посочи на кои предварително обявени условия не отговаря участникът. Ръководителят на УО е приел, че наличието на кореспонденция между участника и проектанта на обектите не е достатъчно да се обоснове извод, че между лицата има свързаност и участникът е поставен в по-благоприятно положение. В допълнение административният орган е посочил, че предположенията за свързаност, която води до неоснователно предимство на участника, са относими към чл. 54, ал. 1, т. 7 ЗОП и чл. 55, ал. 1, т. 5 ЗОП, за които съгласно чл. 57, ал. 5 ЗОП възложителят също следва да осигури доказателства за наличие на основание за отстраняване. </w:t>
        <w:tab/>
        <w:br/>
        <w:tab/>
        <w:t xml:space="preserve">Съдът правилно е възприел извода на административния орган за незаконосъобразно отстраняване на участника. Предмет на процесната обществена поръчка е благоустрояване, включително рехабилитация и реконструкция на улици, енергоспестяващо осветление и озеленяване. Съответните обособени позиции касаят различни райони на територията на община Б.д. „И. П. К“ ООД е автор на инвестиционните проекти за обекта на интервенция за ОП № 2, представляващи неразделна част от документацията за участие, като със същото търговско дружество възложителят е сключил договор за осъществяване на авторски контрол. Въз основа на горните факти възложителят е приел, че участникът „Пиринстройинженеринг“ ЕАД следва да бъде отстранен, тъй като изисквайки становище от „И. П. К“ ООД, „Пиринстройинженеринг“ ЕАД е нарушило основни принципи на ЗОП и по този начин е поставило себе си в по-благоприятно положение в сравнение с другия участник по същата ОП № 2. Съдът е извършил правилна преценка, че „Пиринстройинженеринг“ ЕАД е отстранено от участие в процесната процедура незаконосъобразно. Възложителят е посочил като правно основание за отстраняване на разпоредбата на чл. 107, т. 2, б. „а“ от ЗОП, но не е изложил мотиви на кои предварително обявени условия не отговаря офертата на „Пиринстройинженеринг“ ЕАД и не е представил доказателства. Съгласно чл. 107, т. 2, б. „а“ от ЗОП, освен на основанията по чл. 54 и чл. 55 възложителят отстранява участник, който е представил оферта, която не отговаря на предварително обявените условия за изпълнение на поръчката. Посочените фактически основания са неясни, не са подкрепени с доказателства и не кореспондират на посоченото правно основание за отстраняване. Във връзка с отстраняването в касационната жалба се излагат конкретни факти, които обаче не се съдържат в решението за отстраняване, поради което не съставляват фактически основания за отстраняването и не следва да бъдат обсъждани. </w:t>
        <w:tab/>
        <w:br/>
        <w:tab/>
        <w:t xml:space="preserve">Нарушението правилно е квалифицирано като нередност по т. 14 от Приложение № 1 към чл. 2, ал. 1 от Наредба за посочване на нередности, тъй като възложителят не е обосновал поради неизпълнението на кои точно изисквания е бил отстранен участникът. Неправилно обаче в квалификацията на нарушението като нередност е посочена и т. 16 от същото приложение - „Липса на прозрачност и/или равно третиране по време на оценяването“ от Раздел ІІ „Оценяване на предложения“ към Приложение № 1 към чл. 2, ал. 1 от наредбата. В съответствие с описанието на това нарушение, дадено в колона 2 от приложението, това са случаи, при които одитната пътека, отнасяща се конкретно до оценките, поставени на всяка оферта, е неясна/неоправдана/непрозрачна или несъществуваща и/или протоколът/докладът за оценка не съществува или не съдържа всички елементи, изисквани от съответните разпоредби. В случая е съставен протокол на помощния орган, в който са изложени относимите според органа факти и съответстващото им правно основание за отстраняване. Необосноваността на извода за наличие на основание за отстраняване не е тъждествена на липса на протокол, удостоверяващ извършените действия от комисията. А относно хипотезата на протокол, който не съдържа всички елементи, изисквани от съответните разпоредби, в акта за финансова корекция нито са посочени кои са липсващите елементи от протокола, нито от кои разпоредби се изискват. Неправилното допълнително позоваване от органа и на т. 16 не прави оспорения административен акт незаконосъобразен, тъй като размерът на финансовата корекция и по двете групи нарушения е идентичен. </w:t>
        <w:tab/>
        <w:br/>
        <w:tab/>
        <w:t xml:space="preserve">Неоснователни са оплакванията, че размерът на корекцията от 10 % по обособена позиция 2 е непропорционален на тежестта на нарушението. По делото не се спори, че по тази позиция са отстранени всички участници, с изключение на един, който е определен за изпълнител на поръчката. Органът правилно е посочил, че конкуренцията е съществено засегната от незаконосъобразното отстраняване на „Пиринстройинженеринг“ ЕАД, тъй като в резултат на отстраняването му е останала само една оферта за позицията. В изр. 2 на чл. 72, ал. 3 ЗУСЕСИФ е предвидено, че определеният процентен показател се прилага и за засегнатите от нарушението разходи, включени в следващи искания за плащания, като в този случай не се издава отделно решение за определяне на финансова корекция. Именно в изпълнение на цитираното правило ръководителят на УО е посочил, че разходите, засегнати от нарушенията, няма да бъдат изплащани при следващи искания за верификация. Докато не се определи окончателният размер на допустимите разходи, абсолютната стойност на корекцията има хипотетичен характер и се използва за отчетни цели, поради което нейното изчисление не рефлектира върху законосъобразността на акта. </w:t>
        <w:tab/>
        <w:br/>
        <w:tab/>
        <w:t xml:space="preserve">По изложените съображения не са налице основания по чл. 209, т. 3 АПК за отмяна на съдебния акт, поради което решението на първоинстанционния съд следва да бъде оставено в сила. </w:t>
        <w:tab/>
        <w:br/>
        <w:tab/>
        <w:t xml:space="preserve">Предвид изхода на спора и своевременно направеното искане от процесуалния представител на ответника за присъждане на разноски по делото, на основание чл. 143, ал. 4 АПК касационният жалбоподател следва да бъде осъден да заплати на ответника сумата от 6 789, 97 лева (шест хиляди седемстотин осемдесет и девет лева и деветдесет и седем стотинки) адвокатско възнаграждение за касационната инстанция. Претендираният размер не превишава минималния размер по чл. 8, ал. 1, т. 5 от Наредба № 1 от 9.07.2004 г. за минималните размери на адвокатските възнаграждения, поради което възражението за прекомерност е неоснователно. </w:t>
        <w:tab/>
        <w:br/>
        <w:tab/>
        <w:t xml:space="preserve">Така мотивиран и на основание чл. 221, ал. 2, изр. 1, предложение първо от АПК, Върховният административен съд, седмо отделение, </w:t>
        <w:tab/>
        <w:br/>
        <w:tab/>
        <w:t xml:space="preserve"> </w:t>
        <w:tab/>
        <w:br/>
        <w:tab/>
        <w:t xml:space="preserve">РЕШИ : </w:t>
        <w:tab/>
        <w:br/>
        <w:tab/>
        <w:t xml:space="preserve"> </w:t>
        <w:tab/>
        <w:br/>
        <w:tab/>
        <w:t xml:space="preserve">ОСТАВЯ В СИЛА Решение № 1742 от 30.07.2019 г. по адм. д. № 143/2019 г. на Административен съд - Благоевград. </w:t>
        <w:tab/>
        <w:br/>
        <w:tab/>
        <w:t xml:space="preserve">ОСЪЖДА община Б.д да заплати на Министерство на регионалното развитие и благоустройството разноски за касационната инстанция в размер на 6 789, 97 лева (шест хиляди седемстотин осемдесет и девет лева и деветдесет и седем стотинки).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